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kinsoku/>
        <w:wordWrap/>
        <w:overflowPunct/>
        <w:topLinePunct w:val="0"/>
        <w:autoSpaceDE/>
        <w:autoSpaceDN/>
        <w:bidi w:val="0"/>
        <w:adjustRightInd/>
        <w:snapToGrid/>
        <w:spacing w:line="420" w:lineRule="exact"/>
        <w:jc w:val="center"/>
        <w:textAlignment w:val="auto"/>
        <w:outlineLvl w:val="9"/>
        <w:rPr>
          <w:rFonts w:hint="eastAsia" w:ascii="方正公文黑体" w:hAnsi="方正公文黑体" w:eastAsia="方正公文黑体" w:cs="方正公文黑体"/>
          <w:sz w:val="52"/>
          <w:szCs w:val="52"/>
          <w:lang w:val="en-US" w:eastAsia="zh-CN"/>
        </w:rPr>
      </w:pPr>
    </w:p>
    <w:p>
      <w:pPr>
        <w:pStyle w:val="2"/>
        <w:pageBreakBefore w:val="0"/>
        <w:kinsoku/>
        <w:wordWrap/>
        <w:overflowPunct/>
        <w:topLinePunct w:val="0"/>
        <w:autoSpaceDE/>
        <w:autoSpaceDN/>
        <w:bidi w:val="0"/>
        <w:adjustRightInd/>
        <w:snapToGrid/>
        <w:spacing w:line="420" w:lineRule="exact"/>
        <w:jc w:val="center"/>
        <w:textAlignment w:val="auto"/>
        <w:outlineLvl w:val="9"/>
        <w:rPr>
          <w:rFonts w:hint="eastAsia" w:ascii="方正公文黑体" w:hAnsi="方正公文黑体" w:eastAsia="方正公文黑体" w:cs="方正公文黑体"/>
          <w:sz w:val="52"/>
          <w:szCs w:val="52"/>
          <w:lang w:val="en-US" w:eastAsia="zh-CN"/>
        </w:rPr>
      </w:pPr>
    </w:p>
    <w:p>
      <w:pPr>
        <w:rPr>
          <w:rFonts w:hint="eastAsia" w:ascii="方正公文黑体" w:hAnsi="方正公文黑体" w:eastAsia="方正公文黑体" w:cs="方正公文黑体"/>
          <w:sz w:val="52"/>
          <w:szCs w:val="52"/>
          <w:lang w:val="en-US" w:eastAsia="zh-CN"/>
        </w:rPr>
      </w:pPr>
    </w:p>
    <w:p>
      <w:pPr>
        <w:pStyle w:val="2"/>
        <w:pageBreakBefore w:val="0"/>
        <w:kinsoku/>
        <w:wordWrap/>
        <w:overflowPunct/>
        <w:topLinePunct w:val="0"/>
        <w:autoSpaceDE/>
        <w:autoSpaceDN/>
        <w:bidi w:val="0"/>
        <w:adjustRightInd/>
        <w:snapToGrid/>
        <w:spacing w:line="420" w:lineRule="exact"/>
        <w:jc w:val="center"/>
        <w:textAlignment w:val="auto"/>
        <w:outlineLvl w:val="9"/>
        <w:rPr>
          <w:rFonts w:hint="eastAsia" w:ascii="微软雅黑" w:hAnsi="微软雅黑" w:eastAsia="微软雅黑" w:cs="微软雅黑"/>
          <w:sz w:val="52"/>
          <w:szCs w:val="52"/>
          <w:lang w:val="en-US" w:eastAsia="zh-CN"/>
        </w:rPr>
      </w:pPr>
    </w:p>
    <w:p>
      <w:pPr>
        <w:pStyle w:val="2"/>
        <w:pageBreakBefore w:val="0"/>
        <w:kinsoku/>
        <w:wordWrap/>
        <w:overflowPunct/>
        <w:topLinePunct w:val="0"/>
        <w:autoSpaceDE/>
        <w:autoSpaceDN/>
        <w:bidi w:val="0"/>
        <w:adjustRightInd/>
        <w:snapToGrid/>
        <w:spacing w:line="420" w:lineRule="exact"/>
        <w:jc w:val="center"/>
        <w:textAlignment w:val="auto"/>
        <w:outlineLvl w:val="0"/>
        <w:rPr>
          <w:rFonts w:hint="eastAsia" w:ascii="微软雅黑" w:hAnsi="微软雅黑" w:eastAsia="微软雅黑" w:cs="微软雅黑"/>
          <w:b w:val="0"/>
          <w:bCs w:val="0"/>
          <w:color w:val="000000"/>
          <w:kern w:val="0"/>
          <w:sz w:val="36"/>
          <w:szCs w:val="36"/>
          <w:lang w:val="en-US" w:eastAsia="zh-CN" w:bidi="ar-SA"/>
        </w:rPr>
      </w:pPr>
      <w:bookmarkStart w:id="0" w:name="_Toc30635"/>
      <w:bookmarkStart w:id="1" w:name="_Toc21587"/>
      <w:bookmarkStart w:id="2" w:name="_Toc11565"/>
      <w:bookmarkStart w:id="3" w:name="_Toc11382"/>
      <w:bookmarkStart w:id="4" w:name="_Toc24437"/>
      <w:bookmarkStart w:id="5" w:name="_Toc31130"/>
      <w:bookmarkStart w:id="6" w:name="_Toc22496"/>
      <w:bookmarkStart w:id="7" w:name="_Toc10465"/>
      <w:r>
        <w:rPr>
          <w:rFonts w:hint="eastAsia" w:ascii="微软雅黑" w:hAnsi="微软雅黑" w:eastAsia="微软雅黑" w:cs="微软雅黑"/>
          <w:b w:val="0"/>
          <w:bCs w:val="0"/>
          <w:color w:val="000000"/>
          <w:kern w:val="0"/>
          <w:sz w:val="36"/>
          <w:szCs w:val="36"/>
          <w:lang w:val="en-US" w:eastAsia="zh-CN" w:bidi="ar-SA"/>
        </w:rPr>
        <w:t>白酒供应链尽责管理指南</w:t>
      </w:r>
      <w:bookmarkEnd w:id="0"/>
      <w:bookmarkEnd w:id="1"/>
      <w:bookmarkEnd w:id="2"/>
      <w:bookmarkEnd w:id="3"/>
      <w:bookmarkEnd w:id="4"/>
      <w:bookmarkEnd w:id="5"/>
      <w:bookmarkEnd w:id="6"/>
      <w:bookmarkEnd w:id="7"/>
    </w:p>
    <w:p>
      <w:pPr>
        <w:jc w:val="center"/>
        <w:outlineLvl w:val="0"/>
        <w:rPr>
          <w:rFonts w:hint="eastAsia" w:ascii="微软雅黑" w:hAnsi="微软雅黑" w:eastAsia="微软雅黑" w:cs="微软雅黑"/>
          <w:b w:val="0"/>
          <w:bCs w:val="0"/>
          <w:color w:val="000000"/>
          <w:kern w:val="0"/>
          <w:sz w:val="36"/>
          <w:szCs w:val="36"/>
          <w:lang w:val="en-US" w:eastAsia="zh-CN" w:bidi="ar-SA"/>
        </w:rPr>
      </w:pPr>
      <w:bookmarkStart w:id="8" w:name="_Toc21639"/>
      <w:bookmarkStart w:id="9" w:name="_Toc9912"/>
      <w:bookmarkStart w:id="10" w:name="_Toc9533"/>
      <w:bookmarkStart w:id="11" w:name="_Toc22147"/>
      <w:bookmarkStart w:id="12" w:name="_Toc6446"/>
      <w:bookmarkStart w:id="13" w:name="_Toc3300"/>
      <w:bookmarkStart w:id="14" w:name="_Toc13403"/>
      <w:bookmarkStart w:id="15" w:name="_Toc19920"/>
      <w:r>
        <w:rPr>
          <w:rFonts w:hint="eastAsia" w:ascii="微软雅黑" w:hAnsi="微软雅黑" w:eastAsia="微软雅黑" w:cs="微软雅黑"/>
          <w:b w:val="0"/>
          <w:bCs w:val="0"/>
          <w:color w:val="000000"/>
          <w:kern w:val="0"/>
          <w:sz w:val="36"/>
          <w:szCs w:val="36"/>
          <w:lang w:val="en-US" w:eastAsia="zh-CN" w:bidi="ar-SA"/>
        </w:rPr>
        <w:t>第一版</w:t>
      </w:r>
      <w:bookmarkEnd w:id="8"/>
      <w:bookmarkEnd w:id="9"/>
      <w:bookmarkEnd w:id="10"/>
      <w:bookmarkEnd w:id="11"/>
      <w:bookmarkEnd w:id="12"/>
      <w:bookmarkEnd w:id="13"/>
      <w:bookmarkEnd w:id="14"/>
      <w:bookmarkEnd w:id="15"/>
      <w:bookmarkStart w:id="126" w:name="_GoBack"/>
      <w:bookmarkEnd w:id="126"/>
    </w:p>
    <w:p>
      <w:pPr>
        <w:rPr>
          <w:rFonts w:hint="eastAsia" w:ascii="微软雅黑" w:hAnsi="微软雅黑" w:eastAsia="微软雅黑" w:cs="微软雅黑"/>
          <w:b w:val="0"/>
          <w:bCs w:val="0"/>
          <w:color w:val="000000"/>
          <w:kern w:val="0"/>
          <w:sz w:val="24"/>
          <w:szCs w:val="24"/>
          <w:lang w:val="en-US" w:eastAsia="zh-CN" w:bidi="ar-SA"/>
        </w:rPr>
      </w:pPr>
    </w:p>
    <w:p>
      <w:pPr>
        <w:rPr>
          <w:rFonts w:hint="eastAsia" w:ascii="微软雅黑" w:hAnsi="微软雅黑" w:eastAsia="微软雅黑" w:cs="微软雅黑"/>
          <w:b w:val="0"/>
          <w:bCs w:val="0"/>
          <w:color w:val="000000"/>
          <w:kern w:val="0"/>
          <w:sz w:val="24"/>
          <w:szCs w:val="24"/>
          <w:lang w:val="en-US" w:eastAsia="zh-CN" w:bidi="ar-SA"/>
        </w:rPr>
      </w:pPr>
    </w:p>
    <w:p>
      <w:pPr>
        <w:jc w:val="center"/>
        <w:rPr>
          <w:rFonts w:hint="eastAsia" w:ascii="微软雅黑" w:hAnsi="微软雅黑" w:eastAsia="微软雅黑" w:cs="微软雅黑"/>
          <w:b w:val="0"/>
          <w:bCs w:val="0"/>
          <w:color w:val="000000"/>
          <w:kern w:val="0"/>
          <w:sz w:val="24"/>
          <w:szCs w:val="24"/>
          <w:lang w:val="en-US" w:eastAsia="zh-CN" w:bidi="ar-SA"/>
        </w:rPr>
      </w:pPr>
    </w:p>
    <w:p>
      <w:pPr>
        <w:pStyle w:val="2"/>
        <w:pageBreakBefore w:val="0"/>
        <w:kinsoku/>
        <w:wordWrap/>
        <w:overflowPunct/>
        <w:topLinePunct w:val="0"/>
        <w:autoSpaceDE/>
        <w:autoSpaceDN/>
        <w:bidi w:val="0"/>
        <w:adjustRightInd/>
        <w:snapToGrid/>
        <w:spacing w:line="420" w:lineRule="exact"/>
        <w:textAlignment w:val="auto"/>
        <w:outlineLvl w:val="9"/>
        <w:rPr>
          <w:rFonts w:hint="eastAsia" w:ascii="微软雅黑" w:hAnsi="微软雅黑" w:eastAsia="微软雅黑" w:cs="微软雅黑"/>
          <w:b w:val="0"/>
          <w:bCs w:val="0"/>
          <w:color w:val="000000"/>
          <w:kern w:val="0"/>
          <w:sz w:val="24"/>
          <w:szCs w:val="24"/>
          <w:lang w:val="en-US" w:eastAsia="zh-CN" w:bidi="ar-SA"/>
        </w:rPr>
      </w:pPr>
    </w:p>
    <w:p>
      <w:pPr>
        <w:rPr>
          <w:rFonts w:hint="eastAsia" w:ascii="微软雅黑" w:hAnsi="微软雅黑" w:eastAsia="微软雅黑" w:cs="微软雅黑"/>
          <w:b w:val="0"/>
          <w:bCs w:val="0"/>
          <w:color w:val="000000"/>
          <w:kern w:val="0"/>
          <w:sz w:val="24"/>
          <w:szCs w:val="24"/>
          <w:lang w:val="en-US" w:eastAsia="zh-CN" w:bidi="ar-SA"/>
        </w:rPr>
      </w:pPr>
    </w:p>
    <w:p>
      <w:pPr>
        <w:ind w:firstLine="3000" w:firstLineChars="1000"/>
        <w:jc w:val="both"/>
        <w:outlineLvl w:val="0"/>
        <w:rPr>
          <w:rFonts w:hint="eastAsia" w:ascii="微软雅黑" w:hAnsi="微软雅黑" w:eastAsia="微软雅黑" w:cs="微软雅黑"/>
          <w:b w:val="0"/>
          <w:bCs w:val="0"/>
          <w:color w:val="000000"/>
          <w:kern w:val="0"/>
          <w:sz w:val="30"/>
          <w:szCs w:val="30"/>
          <w:lang w:val="en-US" w:eastAsia="zh-CN" w:bidi="ar-SA"/>
        </w:rPr>
      </w:pPr>
    </w:p>
    <w:p>
      <w:pPr>
        <w:ind w:firstLine="3000" w:firstLineChars="1000"/>
        <w:jc w:val="both"/>
        <w:outlineLvl w:val="0"/>
        <w:rPr>
          <w:rFonts w:hint="eastAsia" w:ascii="微软雅黑" w:hAnsi="微软雅黑" w:eastAsia="微软雅黑" w:cs="微软雅黑"/>
          <w:b w:val="0"/>
          <w:bCs w:val="0"/>
          <w:color w:val="000000"/>
          <w:kern w:val="0"/>
          <w:sz w:val="30"/>
          <w:szCs w:val="30"/>
          <w:lang w:val="en-US" w:eastAsia="zh-CN" w:bidi="ar-SA"/>
        </w:rPr>
      </w:pPr>
    </w:p>
    <w:p>
      <w:pPr>
        <w:ind w:firstLine="3000" w:firstLineChars="1000"/>
        <w:jc w:val="both"/>
        <w:outlineLvl w:val="0"/>
        <w:rPr>
          <w:rFonts w:hint="eastAsia" w:ascii="微软雅黑" w:hAnsi="微软雅黑" w:eastAsia="微软雅黑" w:cs="微软雅黑"/>
          <w:b w:val="0"/>
          <w:bCs w:val="0"/>
          <w:color w:val="000000"/>
          <w:kern w:val="0"/>
          <w:sz w:val="30"/>
          <w:szCs w:val="30"/>
          <w:lang w:val="en-US" w:eastAsia="zh-CN" w:bidi="ar-SA"/>
        </w:rPr>
      </w:pPr>
    </w:p>
    <w:p>
      <w:pPr>
        <w:jc w:val="center"/>
        <w:outlineLvl w:val="9"/>
        <w:rPr>
          <w:rFonts w:hint="eastAsia" w:ascii="微软雅黑" w:hAnsi="微软雅黑" w:eastAsia="微软雅黑" w:cs="微软雅黑"/>
          <w:b w:val="0"/>
          <w:bCs w:val="0"/>
          <w:color w:val="000000"/>
          <w:kern w:val="0"/>
          <w:sz w:val="24"/>
          <w:szCs w:val="24"/>
          <w:lang w:val="en-US" w:eastAsia="zh-CN" w:bidi="ar-SA"/>
        </w:rPr>
      </w:pPr>
      <w:bookmarkStart w:id="16" w:name="_Toc18695"/>
    </w:p>
    <w:p>
      <w:pPr>
        <w:jc w:val="center"/>
        <w:outlineLvl w:val="0"/>
        <w:rPr>
          <w:rFonts w:hint="eastAsia" w:ascii="微软雅黑" w:hAnsi="微软雅黑" w:eastAsia="微软雅黑" w:cs="微软雅黑"/>
          <w:b w:val="0"/>
          <w:bCs w:val="0"/>
          <w:color w:val="000000"/>
          <w:kern w:val="0"/>
          <w:sz w:val="28"/>
          <w:szCs w:val="28"/>
          <w:lang w:val="en-US" w:eastAsia="zh-CN" w:bidi="ar-SA"/>
        </w:rPr>
      </w:pPr>
      <w:bookmarkStart w:id="17" w:name="_Toc26710"/>
      <w:bookmarkStart w:id="18" w:name="_Toc25559"/>
      <w:r>
        <w:rPr>
          <w:rFonts w:hint="eastAsia" w:ascii="微软雅黑" w:hAnsi="微软雅黑" w:eastAsia="微软雅黑" w:cs="微软雅黑"/>
          <w:b w:val="0"/>
          <w:bCs w:val="0"/>
          <w:color w:val="000000"/>
          <w:kern w:val="0"/>
          <w:sz w:val="28"/>
          <w:szCs w:val="28"/>
          <w:lang w:val="en-US" w:eastAsia="zh-CN" w:bidi="ar-SA"/>
        </w:rPr>
        <w:t>2024年2月2日</w:t>
      </w:r>
      <w:bookmarkEnd w:id="16"/>
      <w:bookmarkEnd w:id="17"/>
      <w:bookmarkEnd w:id="18"/>
    </w:p>
    <w:p>
      <w:pPr>
        <w:rPr>
          <w:rFonts w:hint="eastAsia" w:ascii="方正公文黑体" w:hAnsi="方正公文黑体" w:eastAsia="方正公文黑体" w:cs="方正公文黑体"/>
          <w:sz w:val="28"/>
          <w:szCs w:val="28"/>
          <w:lang w:val="en-US" w:eastAsia="zh-CN"/>
        </w:rPr>
      </w:pPr>
    </w:p>
    <w:p>
      <w:pPr>
        <w:outlineLvl w:val="9"/>
        <w:rPr>
          <w:rFonts w:hint="eastAsia" w:ascii="方正公文黑体" w:hAnsi="方正公文黑体" w:eastAsia="方正公文黑体" w:cs="方正公文黑体"/>
          <w:sz w:val="28"/>
          <w:szCs w:val="28"/>
          <w:lang w:val="en-US" w:eastAsia="zh-CN"/>
        </w:rPr>
      </w:pPr>
    </w:p>
    <w:p>
      <w:pPr>
        <w:rPr>
          <w:rFonts w:hint="eastAsia" w:ascii="方正公文黑体" w:hAnsi="方正公文黑体" w:eastAsia="方正公文黑体" w:cs="方正公文黑体"/>
          <w:sz w:val="28"/>
          <w:szCs w:val="28"/>
          <w:lang w:val="en-US" w:eastAsia="zh-CN"/>
        </w:rPr>
      </w:pPr>
    </w:p>
    <w:p>
      <w:pPr>
        <w:rPr>
          <w:rFonts w:hint="eastAsia" w:ascii="方正公文黑体" w:hAnsi="方正公文黑体" w:eastAsia="方正公文黑体" w:cs="方正公文黑体"/>
          <w:sz w:val="28"/>
          <w:szCs w:val="28"/>
          <w:lang w:val="en-US" w:eastAsia="zh-CN"/>
        </w:rPr>
      </w:pPr>
    </w:p>
    <w:sdt>
      <w:sdtPr>
        <w:rPr>
          <w:rFonts w:hint="eastAsia" w:ascii="方正公文黑体" w:hAnsi="方正公文黑体" w:eastAsia="方正公文黑体" w:cs="方正公文黑体"/>
          <w:kern w:val="2"/>
          <w:sz w:val="32"/>
          <w:szCs w:val="32"/>
          <w:lang w:val="en-US" w:eastAsia="zh-CN" w:bidi="ar-SA"/>
        </w:rPr>
        <w:id w:val="147463430"/>
        <w15:color w:val="DBDBDB"/>
        <w:docPartObj>
          <w:docPartGallery w:val="Table of Contents"/>
          <w:docPartUnique/>
        </w:docPartObj>
      </w:sdtPr>
      <w:sdtEndPr>
        <w:rPr>
          <w:rFonts w:hint="eastAsia" w:ascii="方正公文黑体" w:hAnsi="方正公文黑体" w:eastAsia="方正公文黑体" w:cs="方正公文黑体"/>
          <w:kern w:val="2"/>
          <w:sz w:val="32"/>
          <w:szCs w:val="32"/>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目</w:t>
          </w:r>
          <w:r>
            <w:rPr>
              <w:rFonts w:hint="eastAsia" w:ascii="微软雅黑" w:hAnsi="微软雅黑" w:eastAsia="微软雅黑" w:cs="微软雅黑"/>
              <w:sz w:val="32"/>
              <w:szCs w:val="32"/>
              <w:lang w:val="en-US" w:eastAsia="zh-CN"/>
            </w:rPr>
            <w:t xml:space="preserve"> </w:t>
          </w:r>
          <w:r>
            <w:rPr>
              <w:rFonts w:hint="eastAsia" w:ascii="微软雅黑" w:hAnsi="微软雅黑" w:eastAsia="微软雅黑" w:cs="微软雅黑"/>
              <w:sz w:val="32"/>
              <w:szCs w:val="32"/>
            </w:rPr>
            <w:t>录</w:t>
          </w:r>
        </w:p>
        <w:p>
          <w:pPr>
            <w:pStyle w:val="5"/>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TOC \o "1-2" \h \u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_Toc11637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第1章 编制说明</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_Toc11637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4</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_Toc21794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第2章 背景与目的</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_Toc21794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4</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_Toc7087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第3章 适用范围</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_Toc7087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5</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_Toc26425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第4章 尽责管理特征</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_Toc26425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5</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_Toc24377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4.1 尽责管理重在风险预防</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_Toc24377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_Toc32461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4.2 尽责管理涉及多个过程</w:t>
          </w:r>
          <w:r>
            <w:rPr>
              <w:rFonts w:hint="eastAsia" w:ascii="微软雅黑" w:hAnsi="微软雅黑" w:eastAsia="微软雅黑" w:cs="微软雅黑"/>
              <w:bCs/>
              <w:spacing w:val="6"/>
              <w:sz w:val="28"/>
              <w:szCs w:val="28"/>
              <w:lang w:val="en-US" w:eastAsia="zh-CN"/>
            </w:rPr>
            <w:t>与企业目标</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_Toc32461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_Toc777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4.3 尽责管理</w:t>
          </w:r>
          <w:r>
            <w:rPr>
              <w:rFonts w:hint="eastAsia" w:ascii="微软雅黑" w:hAnsi="微软雅黑" w:eastAsia="微软雅黑" w:cs="微软雅黑"/>
              <w:bCs/>
              <w:spacing w:val="6"/>
              <w:sz w:val="28"/>
              <w:szCs w:val="28"/>
              <w:lang w:val="en-US" w:eastAsia="zh-CN"/>
            </w:rPr>
            <w:t>是基于风险的</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_Toc777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_Toc8285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4.4 尽责管理要</w:t>
          </w:r>
          <w:r>
            <w:rPr>
              <w:rFonts w:hint="eastAsia" w:ascii="微软雅黑" w:hAnsi="微软雅黑" w:eastAsia="微软雅黑" w:cs="微软雅黑"/>
              <w:bCs/>
              <w:spacing w:val="6"/>
              <w:sz w:val="28"/>
              <w:szCs w:val="28"/>
              <w:lang w:val="en-US" w:eastAsia="zh-CN"/>
            </w:rPr>
            <w:t>把风险</w:t>
          </w:r>
          <w:r>
            <w:rPr>
              <w:rFonts w:hint="eastAsia" w:ascii="微软雅黑" w:hAnsi="微软雅黑" w:eastAsia="微软雅黑" w:cs="微软雅黑"/>
              <w:bCs/>
              <w:spacing w:val="6"/>
              <w:sz w:val="28"/>
              <w:szCs w:val="28"/>
            </w:rPr>
            <w:t>分</w:t>
          </w:r>
          <w:r>
            <w:rPr>
              <w:rFonts w:hint="eastAsia" w:ascii="微软雅黑" w:hAnsi="微软雅黑" w:eastAsia="微软雅黑" w:cs="微软雅黑"/>
              <w:bCs/>
              <w:spacing w:val="6"/>
              <w:sz w:val="28"/>
              <w:szCs w:val="28"/>
              <w:lang w:val="en-US" w:eastAsia="zh-CN"/>
            </w:rPr>
            <w:t>优先级顺序</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_Toc8285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_Toc4472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4.5 尽责管理</w:t>
          </w:r>
          <w:r>
            <w:rPr>
              <w:rFonts w:hint="eastAsia" w:ascii="微软雅黑" w:hAnsi="微软雅黑" w:eastAsia="微软雅黑" w:cs="微软雅黑"/>
              <w:bCs/>
              <w:spacing w:val="6"/>
              <w:sz w:val="28"/>
              <w:szCs w:val="28"/>
              <w:lang w:val="en-US" w:eastAsia="zh-CN"/>
            </w:rPr>
            <w:t>需要动态管理，倡导</w:t>
          </w:r>
          <w:r>
            <w:rPr>
              <w:rFonts w:hint="eastAsia" w:ascii="微软雅黑" w:hAnsi="微软雅黑" w:eastAsia="微软雅黑" w:cs="微软雅黑"/>
              <w:bCs/>
              <w:spacing w:val="6"/>
              <w:sz w:val="28"/>
              <w:szCs w:val="28"/>
            </w:rPr>
            <w:t>持续改进</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_Toc4472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_Toc19792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4.6 尽责管理</w:t>
          </w:r>
          <w:r>
            <w:rPr>
              <w:rFonts w:hint="eastAsia" w:ascii="微软雅黑" w:hAnsi="微软雅黑" w:eastAsia="微软雅黑" w:cs="微软雅黑"/>
              <w:bCs/>
              <w:spacing w:val="6"/>
              <w:sz w:val="28"/>
              <w:szCs w:val="28"/>
              <w:lang w:val="en-US" w:eastAsia="zh-CN"/>
            </w:rPr>
            <w:t>不</w:t>
          </w:r>
          <w:r>
            <w:rPr>
              <w:rFonts w:hint="eastAsia" w:ascii="微软雅黑" w:hAnsi="微软雅黑" w:eastAsia="微软雅黑" w:cs="微软雅黑"/>
              <w:bCs/>
              <w:spacing w:val="6"/>
              <w:sz w:val="28"/>
              <w:szCs w:val="28"/>
            </w:rPr>
            <w:t>转嫁责任</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_Toc19792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_Toc27904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4.7 尽责管理</w:t>
          </w:r>
          <w:r>
            <w:rPr>
              <w:rFonts w:hint="eastAsia" w:ascii="微软雅黑" w:hAnsi="微软雅黑" w:eastAsia="微软雅黑" w:cs="微软雅黑"/>
              <w:bCs/>
              <w:spacing w:val="6"/>
              <w:sz w:val="28"/>
              <w:szCs w:val="28"/>
              <w:lang w:val="en-US" w:eastAsia="zh-CN"/>
            </w:rPr>
            <w:t>首先要</w:t>
          </w:r>
          <w:r>
            <w:rPr>
              <w:rFonts w:hint="eastAsia" w:ascii="微软雅黑" w:hAnsi="微软雅黑" w:eastAsia="微软雅黑" w:cs="微软雅黑"/>
              <w:bCs/>
              <w:spacing w:val="6"/>
              <w:sz w:val="28"/>
              <w:szCs w:val="28"/>
            </w:rPr>
            <w:t>合规</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_Toc27904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7</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_Toc21051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4.8 尽责管理符合企业情况</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_Toc21051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7</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_Toc23510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4.9</w:t>
          </w:r>
          <w:r>
            <w:rPr>
              <w:rFonts w:hint="eastAsia" w:ascii="微软雅黑" w:hAnsi="微软雅黑" w:eastAsia="微软雅黑" w:cs="微软雅黑"/>
              <w:bCs/>
              <w:spacing w:val="6"/>
              <w:sz w:val="28"/>
              <w:szCs w:val="28"/>
              <w:lang w:val="en-US" w:eastAsia="zh-CN"/>
            </w:rPr>
            <w:t xml:space="preserve"> </w:t>
          </w:r>
          <w:r>
            <w:rPr>
              <w:rFonts w:hint="eastAsia" w:ascii="微软雅黑" w:hAnsi="微软雅黑" w:eastAsia="微软雅黑" w:cs="微软雅黑"/>
              <w:bCs/>
              <w:spacing w:val="6"/>
              <w:sz w:val="28"/>
              <w:szCs w:val="28"/>
            </w:rPr>
            <w:t>尽责管理通过与利益相关方合作的方式开展</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_Toc23510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7</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_Toc16528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bCs/>
              <w:spacing w:val="6"/>
              <w:sz w:val="28"/>
              <w:szCs w:val="28"/>
            </w:rPr>
            <w:t>4.10 尽责管理过程要保持持续有效沟通</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_Toc16528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7</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_Toc17779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第5章 尽责管理过程</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_Toc17779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7</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_Toc13958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5.1白酒企业采购过程尽责管理</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_Toc13958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8</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_Toc22858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5.1.1将白酒企业采购尽责管理融入企业政策与管理体系</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_Toc22858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8</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_Toc28535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5.1.2</w:t>
          </w:r>
          <w:r>
            <w:rPr>
              <w:rFonts w:hint="eastAsia" w:ascii="微软雅黑" w:hAnsi="微软雅黑" w:eastAsia="微软雅黑" w:cs="微软雅黑"/>
              <w:sz w:val="28"/>
              <w:szCs w:val="28"/>
            </w:rPr>
            <w:t>识别</w:t>
          </w:r>
          <w:r>
            <w:rPr>
              <w:rFonts w:hint="eastAsia" w:ascii="微软雅黑" w:hAnsi="微软雅黑" w:eastAsia="微软雅黑" w:cs="微软雅黑"/>
              <w:sz w:val="28"/>
              <w:szCs w:val="28"/>
              <w:lang w:eastAsia="zh-CN"/>
            </w:rPr>
            <w:t>白酒</w:t>
          </w:r>
          <w:r>
            <w:rPr>
              <w:rFonts w:hint="eastAsia" w:ascii="微软雅黑" w:hAnsi="微软雅黑" w:eastAsia="微软雅黑" w:cs="微软雅黑"/>
              <w:sz w:val="28"/>
              <w:szCs w:val="28"/>
              <w:lang w:val="en-US" w:eastAsia="zh-CN"/>
            </w:rPr>
            <w:t>企业采购</w:t>
          </w:r>
          <w:r>
            <w:rPr>
              <w:rFonts w:hint="eastAsia" w:ascii="微软雅黑" w:hAnsi="微软雅黑" w:eastAsia="微软雅黑" w:cs="微软雅黑"/>
              <w:sz w:val="28"/>
              <w:szCs w:val="28"/>
              <w:lang w:eastAsia="zh-CN"/>
            </w:rPr>
            <w:t>体系风险</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_Toc28535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9</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_Toc20535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5.1.3</w:t>
          </w:r>
          <w:r>
            <w:rPr>
              <w:rFonts w:hint="eastAsia" w:ascii="微软雅黑" w:hAnsi="微软雅黑" w:eastAsia="微软雅黑" w:cs="微软雅黑"/>
              <w:sz w:val="28"/>
              <w:szCs w:val="28"/>
            </w:rPr>
            <w:t>终止、防范或减轻</w:t>
          </w:r>
          <w:r>
            <w:rPr>
              <w:rFonts w:hint="eastAsia" w:ascii="微软雅黑" w:hAnsi="微软雅黑" w:eastAsia="微软雅黑" w:cs="微软雅黑"/>
              <w:sz w:val="28"/>
              <w:szCs w:val="28"/>
              <w:lang w:eastAsia="zh-CN"/>
            </w:rPr>
            <w:t>风险</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_Toc20535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12</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_Toc10254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1.</w:t>
          </w:r>
          <w:r>
            <w:rPr>
              <w:rFonts w:hint="eastAsia" w:ascii="微软雅黑" w:hAnsi="微软雅黑" w:eastAsia="微软雅黑" w:cs="微软雅黑"/>
              <w:sz w:val="28"/>
              <w:szCs w:val="28"/>
              <w:lang w:val="en-US" w:eastAsia="zh-CN"/>
            </w:rPr>
            <w:t>4</w:t>
          </w:r>
          <w:r>
            <w:rPr>
              <w:rFonts w:hint="eastAsia" w:ascii="微软雅黑" w:hAnsi="微软雅黑" w:eastAsia="微软雅黑" w:cs="微软雅黑"/>
              <w:sz w:val="28"/>
              <w:szCs w:val="28"/>
            </w:rPr>
            <w:t>跟踪实施情况与结果</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_Toc10254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18</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_Toc18036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1.</w:t>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沟通如何消除影响</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_Toc18036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25</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_Toc31989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w:t>
          </w:r>
          <w:r>
            <w:rPr>
              <w:rFonts w:hint="eastAsia" w:ascii="微软雅黑" w:hAnsi="微软雅黑" w:eastAsia="微软雅黑" w:cs="微软雅黑"/>
              <w:sz w:val="28"/>
              <w:szCs w:val="28"/>
            </w:rPr>
            <w:t>1.</w:t>
          </w:r>
          <w:r>
            <w:rPr>
              <w:rFonts w:hint="eastAsia" w:ascii="微软雅黑" w:hAnsi="微软雅黑" w:eastAsia="微软雅黑" w:cs="微软雅黑"/>
              <w:sz w:val="28"/>
              <w:szCs w:val="28"/>
              <w:lang w:val="en-US" w:eastAsia="zh-CN"/>
            </w:rPr>
            <w:t>6</w:t>
          </w:r>
          <w:r>
            <w:rPr>
              <w:rFonts w:hint="eastAsia" w:ascii="微软雅黑" w:hAnsi="微软雅黑" w:eastAsia="微软雅黑" w:cs="微软雅黑"/>
              <w:sz w:val="28"/>
              <w:szCs w:val="28"/>
            </w:rPr>
            <w:t xml:space="preserve"> 适时提供条件或开展合作进行补救</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_Toc31989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26</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_Toc23052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5.2白酒生产过程尽责管理</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_Toc23052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33</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_Toc24548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5.2.1将白酒生产尽责管理融入企业政策与管理体系</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_Toc24548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33</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_Toc23088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5.2.2识别和评估白酒生产体系风险</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_Toc23088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36</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_Toc24132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5.2.3终止、防范或减轻风险</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_Toc24132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40</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_Toc30160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5.2.4追踪实施情况与结果</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_Toc30160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43</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_Toc3519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5.2.5沟通如何消除影响</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_Toc3519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46</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_Toc3179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5.2.6适时提供条件或开展合作进行补救</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_Toc3179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48</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_Toc22129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5.3白酒营销过程尽责管理</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_Toc22129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52</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_Toc6643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5.3.1</w:t>
          </w:r>
          <w:r>
            <w:rPr>
              <w:rFonts w:hint="eastAsia" w:ascii="微软雅黑" w:hAnsi="微软雅黑" w:eastAsia="微软雅黑" w:cs="微软雅黑"/>
              <w:sz w:val="28"/>
              <w:szCs w:val="28"/>
            </w:rPr>
            <w:t>将</w:t>
          </w:r>
          <w:r>
            <w:rPr>
              <w:rFonts w:hint="eastAsia" w:ascii="微软雅黑" w:hAnsi="微软雅黑" w:eastAsia="微软雅黑" w:cs="微软雅黑"/>
              <w:sz w:val="28"/>
              <w:szCs w:val="28"/>
              <w:lang w:eastAsia="zh-CN"/>
            </w:rPr>
            <w:t>白酒营销</w:t>
          </w:r>
          <w:r>
            <w:rPr>
              <w:rFonts w:hint="eastAsia" w:ascii="微软雅黑" w:hAnsi="微软雅黑" w:eastAsia="微软雅黑" w:cs="微软雅黑"/>
              <w:sz w:val="28"/>
              <w:szCs w:val="28"/>
              <w:lang w:val="en-US" w:eastAsia="zh-CN"/>
            </w:rPr>
            <w:t>尽责管理</w:t>
          </w:r>
          <w:r>
            <w:rPr>
              <w:rFonts w:hint="eastAsia" w:ascii="微软雅黑" w:hAnsi="微软雅黑" w:eastAsia="微软雅黑" w:cs="微软雅黑"/>
              <w:sz w:val="28"/>
              <w:szCs w:val="28"/>
            </w:rPr>
            <w:t>融入企业政策与管理体系</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_Toc6643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52</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_Toc20382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5.3.2</w:t>
          </w:r>
          <w:r>
            <w:rPr>
              <w:rFonts w:hint="eastAsia" w:ascii="微软雅黑" w:hAnsi="微软雅黑" w:eastAsia="微软雅黑" w:cs="微软雅黑"/>
              <w:sz w:val="28"/>
              <w:szCs w:val="28"/>
            </w:rPr>
            <w:t>识别和评估对</w:t>
          </w:r>
          <w:r>
            <w:rPr>
              <w:rFonts w:hint="eastAsia" w:ascii="微软雅黑" w:hAnsi="微软雅黑" w:eastAsia="微软雅黑" w:cs="微软雅黑"/>
              <w:sz w:val="28"/>
              <w:szCs w:val="28"/>
              <w:lang w:eastAsia="zh-CN"/>
            </w:rPr>
            <w:t>白酒营销体系风险</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_Toc20382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53</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_Toc16181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5.3.3</w:t>
          </w:r>
          <w:r>
            <w:rPr>
              <w:rFonts w:hint="eastAsia" w:ascii="微软雅黑" w:hAnsi="微软雅黑" w:eastAsia="微软雅黑" w:cs="微软雅黑"/>
              <w:sz w:val="28"/>
              <w:szCs w:val="28"/>
            </w:rPr>
            <w:t>终止、防范或减轻</w:t>
          </w:r>
          <w:r>
            <w:rPr>
              <w:rFonts w:hint="eastAsia" w:ascii="微软雅黑" w:hAnsi="微软雅黑" w:eastAsia="微软雅黑" w:cs="微软雅黑"/>
              <w:sz w:val="28"/>
              <w:szCs w:val="28"/>
              <w:lang w:eastAsia="zh-CN"/>
            </w:rPr>
            <w:t>风险</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_Toc16181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57</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_Toc19224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5.3.4</w:t>
          </w:r>
          <w:r>
            <w:rPr>
              <w:rFonts w:hint="eastAsia" w:ascii="微软雅黑" w:hAnsi="微软雅黑" w:eastAsia="微软雅黑" w:cs="微软雅黑"/>
              <w:sz w:val="28"/>
              <w:szCs w:val="28"/>
            </w:rPr>
            <w:t>跟踪实施情况</w:t>
          </w:r>
          <w:r>
            <w:rPr>
              <w:rFonts w:hint="eastAsia" w:ascii="微软雅黑" w:hAnsi="微软雅黑" w:eastAsia="微软雅黑" w:cs="微软雅黑"/>
              <w:sz w:val="28"/>
              <w:szCs w:val="28"/>
              <w:lang w:val="en-US" w:eastAsia="zh-CN"/>
            </w:rPr>
            <w:t>与</w:t>
          </w:r>
          <w:r>
            <w:rPr>
              <w:rFonts w:hint="eastAsia" w:ascii="微软雅黑" w:hAnsi="微软雅黑" w:eastAsia="微软雅黑" w:cs="微软雅黑"/>
              <w:sz w:val="28"/>
              <w:szCs w:val="28"/>
            </w:rPr>
            <w:t>结果</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_Toc19224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60</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_Toc12843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5.3.5</w:t>
          </w:r>
          <w:r>
            <w:rPr>
              <w:rFonts w:hint="eastAsia" w:ascii="微软雅黑" w:hAnsi="微软雅黑" w:eastAsia="微软雅黑" w:cs="微软雅黑"/>
              <w:sz w:val="28"/>
              <w:szCs w:val="28"/>
            </w:rPr>
            <w:t>沟通如何消除影响</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_Toc12843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62</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firstLine="280" w:firstLineChars="10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_Toc19631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5.3.6</w:t>
          </w:r>
          <w:r>
            <w:rPr>
              <w:rFonts w:hint="eastAsia" w:ascii="微软雅黑" w:hAnsi="微软雅黑" w:eastAsia="微软雅黑" w:cs="微软雅黑"/>
              <w:sz w:val="28"/>
              <w:szCs w:val="28"/>
            </w:rPr>
            <w:t>适时提供条件或开展合作进行补救</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_Toc19631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65</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_Toc32280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第6章 尽责管理中的人权保护</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_Toc32280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67</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pStyle w:val="6"/>
            <w:keepNext w:val="0"/>
            <w:keepLines w:val="0"/>
            <w:pageBreakBefore w:val="0"/>
            <w:widowControl w:val="0"/>
            <w:tabs>
              <w:tab w:val="right" w:leader="dot" w:pos="9072"/>
            </w:tabs>
            <w:kinsoku/>
            <w:wordWrap/>
            <w:overflowPunct/>
            <w:topLinePunct w:val="0"/>
            <w:autoSpaceDE/>
            <w:autoSpaceDN/>
            <w:bidi w:val="0"/>
            <w:adjustRightInd/>
            <w:snapToGrid/>
            <w:spacing w:line="360" w:lineRule="auto"/>
            <w:ind w:left="0" w:leftChars="0" w:firstLine="0" w:firstLineChars="0"/>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HYPERLINK \l _Toc22127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lang w:val="en-US" w:eastAsia="zh-CN"/>
            </w:rPr>
            <w:t>附录：参考的标准</w:t>
          </w:r>
          <w:r>
            <w:rPr>
              <w:rFonts w:hint="eastAsia" w:ascii="微软雅黑" w:hAnsi="微软雅黑" w:eastAsia="微软雅黑" w:cs="微软雅黑"/>
              <w:sz w:val="28"/>
              <w:szCs w:val="28"/>
            </w:rPr>
            <w:tab/>
          </w:r>
          <w:r>
            <w:rPr>
              <w:rFonts w:hint="eastAsia" w:ascii="微软雅黑" w:hAnsi="微软雅黑" w:eastAsia="微软雅黑" w:cs="微软雅黑"/>
              <w:sz w:val="28"/>
              <w:szCs w:val="28"/>
            </w:rPr>
            <w:fldChar w:fldCharType="begin"/>
          </w:r>
          <w:r>
            <w:rPr>
              <w:rFonts w:hint="eastAsia" w:ascii="微软雅黑" w:hAnsi="微软雅黑" w:eastAsia="微软雅黑" w:cs="微软雅黑"/>
              <w:sz w:val="28"/>
              <w:szCs w:val="28"/>
            </w:rPr>
            <w:instrText xml:space="preserve"> PAGEREF _Toc22127 \h </w:instrText>
          </w:r>
          <w:r>
            <w:rPr>
              <w:rFonts w:hint="eastAsia" w:ascii="微软雅黑" w:hAnsi="微软雅黑" w:eastAsia="微软雅黑" w:cs="微软雅黑"/>
              <w:sz w:val="28"/>
              <w:szCs w:val="28"/>
            </w:rPr>
            <w:fldChar w:fldCharType="separate"/>
          </w:r>
          <w:r>
            <w:rPr>
              <w:rFonts w:hint="eastAsia" w:ascii="微软雅黑" w:hAnsi="微软雅黑" w:eastAsia="微软雅黑" w:cs="微软雅黑"/>
              <w:sz w:val="28"/>
              <w:szCs w:val="28"/>
            </w:rPr>
            <w:t>68</w:t>
          </w:r>
          <w:r>
            <w:rPr>
              <w:rFonts w:hint="eastAsia" w:ascii="微软雅黑" w:hAnsi="微软雅黑" w:eastAsia="微软雅黑" w:cs="微软雅黑"/>
              <w:sz w:val="28"/>
              <w:szCs w:val="28"/>
            </w:rPr>
            <w:fldChar w:fldCharType="end"/>
          </w:r>
          <w:r>
            <w:rPr>
              <w:rFonts w:hint="eastAsia" w:ascii="微软雅黑" w:hAnsi="微软雅黑" w:eastAsia="微软雅黑" w:cs="微软雅黑"/>
              <w:sz w:val="28"/>
              <w:szCs w:val="28"/>
            </w:rPr>
            <w:fldChar w:fldCharType="end"/>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ascii="微软雅黑" w:hAnsi="微软雅黑" w:eastAsia="微软雅黑" w:cs="微软雅黑"/>
              <w:sz w:val="28"/>
              <w:szCs w:val="28"/>
            </w:rPr>
            <w:fldChar w:fldCharType="end"/>
          </w:r>
        </w:p>
      </w:sdtContent>
    </w:sdt>
    <w:p>
      <w:pPr>
        <w:pStyle w:val="2"/>
        <w:pageBreakBefore w:val="0"/>
        <w:kinsoku/>
        <w:wordWrap/>
        <w:overflowPunct/>
        <w:topLinePunct w:val="0"/>
        <w:autoSpaceDE/>
        <w:autoSpaceDN/>
        <w:bidi w:val="0"/>
        <w:adjustRightInd/>
        <w:snapToGrid/>
        <w:spacing w:line="420" w:lineRule="exact"/>
        <w:textAlignment w:val="auto"/>
        <w:outlineLvl w:val="0"/>
        <w:rPr>
          <w:rFonts w:hint="eastAsia" w:ascii="方正公文黑体" w:hAnsi="方正公文黑体" w:eastAsia="方正公文黑体" w:cs="方正公文黑体"/>
          <w:sz w:val="28"/>
          <w:szCs w:val="28"/>
          <w:lang w:val="en-US" w:eastAsia="zh-CN"/>
        </w:rPr>
      </w:pPr>
    </w:p>
    <w:p>
      <w:pPr>
        <w:pStyle w:val="2"/>
        <w:pageBreakBefore w:val="0"/>
        <w:kinsoku/>
        <w:wordWrap/>
        <w:overflowPunct/>
        <w:topLinePunct w:val="0"/>
        <w:autoSpaceDE/>
        <w:autoSpaceDN/>
        <w:bidi w:val="0"/>
        <w:adjustRightInd/>
        <w:snapToGrid/>
        <w:spacing w:line="420" w:lineRule="exact"/>
        <w:textAlignment w:val="auto"/>
        <w:outlineLvl w:val="0"/>
        <w:rPr>
          <w:rFonts w:hint="eastAsia" w:ascii="方正公文黑体" w:hAnsi="方正公文黑体" w:eastAsia="方正公文黑体" w:cs="方正公文黑体"/>
          <w:sz w:val="28"/>
          <w:szCs w:val="28"/>
          <w:lang w:val="en-US" w:eastAsia="zh-CN"/>
        </w:rPr>
      </w:pPr>
    </w:p>
    <w:p>
      <w:pPr>
        <w:rPr>
          <w:rFonts w:hint="eastAsia" w:ascii="方正公文黑体" w:hAnsi="方正公文黑体" w:eastAsia="方正公文黑体" w:cs="方正公文黑体"/>
          <w:sz w:val="28"/>
          <w:szCs w:val="28"/>
          <w:lang w:val="en-US" w:eastAsia="zh-CN"/>
        </w:rPr>
      </w:pPr>
    </w:p>
    <w:p>
      <w:pPr>
        <w:rPr>
          <w:rFonts w:hint="eastAsia" w:ascii="方正公文黑体" w:hAnsi="方正公文黑体" w:eastAsia="方正公文黑体" w:cs="方正公文黑体"/>
          <w:sz w:val="28"/>
          <w:szCs w:val="28"/>
          <w:lang w:val="en-US" w:eastAsia="zh-CN"/>
        </w:rPr>
      </w:pPr>
    </w:p>
    <w:p>
      <w:pPr>
        <w:pStyle w:val="2"/>
        <w:pageBreakBefore w:val="0"/>
        <w:kinsoku/>
        <w:wordWrap/>
        <w:overflowPunct/>
        <w:topLinePunct w:val="0"/>
        <w:autoSpaceDE/>
        <w:autoSpaceDN/>
        <w:bidi w:val="0"/>
        <w:adjustRightInd/>
        <w:snapToGrid/>
        <w:spacing w:line="420" w:lineRule="exact"/>
        <w:textAlignment w:val="auto"/>
        <w:outlineLvl w:val="0"/>
        <w:rPr>
          <w:rFonts w:hint="eastAsia" w:ascii="方正公文黑体" w:hAnsi="方正公文黑体" w:eastAsia="方正公文黑体" w:cs="方正公文黑体"/>
          <w:b/>
          <w:sz w:val="28"/>
          <w:szCs w:val="28"/>
          <w:lang w:val="en-US" w:eastAsia="zh-CN"/>
        </w:rPr>
      </w:pPr>
      <w:bookmarkStart w:id="19" w:name="_Toc11637"/>
      <w:r>
        <w:rPr>
          <w:rFonts w:hint="eastAsia" w:ascii="方正公文黑体" w:hAnsi="方正公文黑体" w:eastAsia="方正公文黑体" w:cs="方正公文黑体"/>
          <w:b/>
          <w:sz w:val="28"/>
          <w:szCs w:val="28"/>
          <w:lang w:val="en-US" w:eastAsia="zh-CN"/>
        </w:rPr>
        <w:fldChar w:fldCharType="begin"/>
      </w:r>
      <w:r>
        <w:rPr>
          <w:rFonts w:hint="eastAsia" w:ascii="方正公文黑体" w:hAnsi="方正公文黑体" w:eastAsia="方正公文黑体" w:cs="方正公文黑体"/>
          <w:b/>
          <w:sz w:val="28"/>
          <w:szCs w:val="28"/>
          <w:lang w:val="en-US" w:eastAsia="zh-CN"/>
        </w:rPr>
        <w:instrText xml:space="preserve"> HYPERLINK \l _Toc30611 </w:instrText>
      </w:r>
      <w:r>
        <w:rPr>
          <w:rFonts w:hint="eastAsia" w:ascii="方正公文黑体" w:hAnsi="方正公文黑体" w:eastAsia="方正公文黑体" w:cs="方正公文黑体"/>
          <w:b/>
          <w:sz w:val="28"/>
          <w:szCs w:val="28"/>
          <w:lang w:val="en-US" w:eastAsia="zh-CN"/>
        </w:rPr>
        <w:fldChar w:fldCharType="separate"/>
      </w:r>
      <w:r>
        <w:rPr>
          <w:rFonts w:hint="eastAsia" w:ascii="方正公文黑体" w:hAnsi="方正公文黑体" w:eastAsia="方正公文黑体" w:cs="方正公文黑体"/>
          <w:b/>
          <w:sz w:val="28"/>
          <w:szCs w:val="28"/>
          <w:lang w:val="en-US" w:eastAsia="zh-CN"/>
        </w:rPr>
        <w:t>第1章 编制说明</w:t>
      </w:r>
      <w:r>
        <w:rPr>
          <w:rFonts w:hint="eastAsia" w:ascii="方正公文黑体" w:hAnsi="方正公文黑体" w:eastAsia="方正公文黑体" w:cs="方正公文黑体"/>
          <w:b/>
          <w:sz w:val="28"/>
          <w:szCs w:val="28"/>
          <w:lang w:val="en-US" w:eastAsia="zh-CN"/>
        </w:rPr>
        <w:fldChar w:fldCharType="end"/>
      </w:r>
      <w:bookmarkEnd w:id="19"/>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2023年，由中国白酒协会牵头，茅台学院和贵州茅台酒股份有限公司主要起草，联合名优白酒企业共同编制《白酒供应链尽责管理指南》。通过制定明确的白酒供应链管理标准，增强企业在供应链中的透明度，确保企业对环境、社会和治理（ESG）方面的责任得到有效履行；指导企业和供应商遵守相关的国家法律、国际公约及行业规范，促进公平交易、反对腐败、禁止使用童工和强迫劳动等不道德行为；确保供应链中种植户和工人的基本权利和福利，包括合理的工作时间、足够的休息时间、安全的工作环境以及公平的薪酬，保护消费者权益；推动供应链中的企业采取可持续的生产方式，减少环境污染和资源消耗，保护生物多样性，以实现产业的绿色发展；帮助企业识别、评估和管理供应链中可能存在的社会责任和环境风险，鼓励采取预防措施和持续改进措施；提升企业品牌形象，增强企业的市场竞争力和长期可持续发展能力；建立有效的沟通机制，促进企业与供应商、消费者、社会组织和政府之间的信息交流和协作，共同推进供应链的负责任实践。本标准编写参考了国际标准OECD《经合组织负责任商业行为尽责管理指南》、《工商业与人权：实施联合国“保护、尊重和补救”框架指导原则》、《联合国可持续发展目标》。</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本版指南在结构和内容上按照以下六步法实施：（1）将负责任商业行为融入政策与管理体系；（2）识别对负责任商业行为议题的实际或潜在风险；（3）终止、防范或减轻风险；（4）跟踪实施情况与结果；（5）沟通如何消除影响；（6）适时实现补救。</w:t>
      </w:r>
    </w:p>
    <w:p>
      <w:pPr>
        <w:pStyle w:val="2"/>
        <w:pageBreakBefore w:val="0"/>
        <w:kinsoku/>
        <w:wordWrap/>
        <w:overflowPunct/>
        <w:topLinePunct w:val="0"/>
        <w:autoSpaceDE/>
        <w:autoSpaceDN/>
        <w:bidi w:val="0"/>
        <w:adjustRightInd/>
        <w:snapToGrid/>
        <w:spacing w:line="420" w:lineRule="exact"/>
        <w:textAlignment w:val="auto"/>
        <w:outlineLvl w:val="0"/>
        <w:rPr>
          <w:rFonts w:hint="eastAsia" w:ascii="方正公文黑体" w:hAnsi="方正公文黑体" w:eastAsia="方正公文黑体" w:cs="方正公文黑体"/>
          <w:b/>
          <w:sz w:val="28"/>
          <w:szCs w:val="28"/>
          <w:lang w:val="en-US" w:eastAsia="zh-CN"/>
        </w:rPr>
      </w:pPr>
      <w:bookmarkStart w:id="20" w:name="_Toc21794"/>
      <w:bookmarkStart w:id="21" w:name="_Toc21143"/>
      <w:r>
        <w:rPr>
          <w:rFonts w:hint="eastAsia" w:ascii="方正公文黑体" w:hAnsi="方正公文黑体" w:eastAsia="方正公文黑体" w:cs="方正公文黑体"/>
          <w:b/>
          <w:sz w:val="28"/>
          <w:szCs w:val="28"/>
          <w:lang w:val="en-US" w:eastAsia="zh-CN"/>
        </w:rPr>
        <w:fldChar w:fldCharType="begin"/>
      </w:r>
      <w:r>
        <w:rPr>
          <w:rFonts w:hint="eastAsia" w:ascii="方正公文黑体" w:hAnsi="方正公文黑体" w:eastAsia="方正公文黑体" w:cs="方正公文黑体"/>
          <w:b/>
          <w:sz w:val="28"/>
          <w:szCs w:val="28"/>
          <w:lang w:val="en-US" w:eastAsia="zh-CN"/>
        </w:rPr>
        <w:instrText xml:space="preserve"> HYPERLINK \l _Toc30887 </w:instrText>
      </w:r>
      <w:r>
        <w:rPr>
          <w:rFonts w:hint="eastAsia" w:ascii="方正公文黑体" w:hAnsi="方正公文黑体" w:eastAsia="方正公文黑体" w:cs="方正公文黑体"/>
          <w:b/>
          <w:sz w:val="28"/>
          <w:szCs w:val="28"/>
          <w:lang w:val="en-US" w:eastAsia="zh-CN"/>
        </w:rPr>
        <w:fldChar w:fldCharType="separate"/>
      </w:r>
      <w:r>
        <w:rPr>
          <w:rFonts w:hint="eastAsia" w:ascii="方正公文黑体" w:hAnsi="方正公文黑体" w:eastAsia="方正公文黑体" w:cs="方正公文黑体"/>
          <w:b/>
          <w:sz w:val="28"/>
          <w:szCs w:val="28"/>
          <w:lang w:val="en-US" w:eastAsia="zh-CN"/>
        </w:rPr>
        <w:t>第2章 背景与目的</w:t>
      </w:r>
      <w:r>
        <w:rPr>
          <w:rFonts w:hint="eastAsia" w:ascii="方正公文黑体" w:hAnsi="方正公文黑体" w:eastAsia="方正公文黑体" w:cs="方正公文黑体"/>
          <w:b/>
          <w:sz w:val="28"/>
          <w:szCs w:val="28"/>
          <w:lang w:val="en-US" w:eastAsia="zh-CN"/>
        </w:rPr>
        <w:fldChar w:fldCharType="end"/>
      </w:r>
      <w:bookmarkEnd w:id="20"/>
      <w:bookmarkEnd w:id="21"/>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面对国内市场的存量竞争，白酒行业走向国际化，有利于提升白酒供应链的竞争地位，有效促进利益相关方（政府、企业、社区）的关系融合，有利于白酒供应链上下游形成互利关系。白酒酿造过程中会破坏生态环境（包括排污、碳排放、微生物群），白酒行业的食品安全机制不完善，可溯源技术不成熟，因此，在白酒的生产和营销过程中会产生风险，如：生态环境、破坏微生物群生存环境、食品安全、工人健康与安全等风险。</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国际上对供应链尽责管理关注度逐渐提升，制定了系列维护食品安全、保护生态环境、维护生物多样性的标准、倡议、规则等，比如：经合组织负责任商业行为尽责管理指南。</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基于《经合组织跨国企业准则》OECD组织制定了《经合组织负责任商业行为尽责管理指南》，针对跨国企业提出的有关负责任商业行为（RBC）的非约束性建议，基于《经合组织负责任商业行为尽责管理指南》编委制定《白酒供应链尽责管理指南》。国家、行业组织更加重视成员企业的负责任商业行为，陆续制定可持续标准或政策，要求企业开展供应链尽责管理。中国白酒行业企业就识别、防范、缓解和说明如何消除自身运营、供应链及其他业务关系中实际和潜在的风险达成了共识。</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本《指南》旨在帮助白酒供应链企业发现风险、预防风险以及风险发生后如何消除影响及时补救。</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白酒企业落实《指南》，预期的益处包括：</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bookmarkStart w:id="22" w:name="_Toc10232"/>
      <w:r>
        <w:rPr>
          <w:rFonts w:hint="eastAsia"/>
          <w:sz w:val="24"/>
          <w:szCs w:val="24"/>
          <w:lang w:val="en-US" w:eastAsia="zh-CN"/>
        </w:rPr>
        <w:t>1.提高品牌形象和声誉，增强企业市场竞争力；</w:t>
      </w:r>
      <w:bookmarkEnd w:id="22"/>
    </w:p>
    <w:p>
      <w:pPr>
        <w:pageBreakBefore w:val="0"/>
        <w:kinsoku/>
        <w:wordWrap/>
        <w:overflowPunct/>
        <w:topLinePunct w:val="0"/>
        <w:autoSpaceDE/>
        <w:autoSpaceDN/>
        <w:bidi w:val="0"/>
        <w:adjustRightInd/>
        <w:snapToGrid/>
        <w:spacing w:line="420" w:lineRule="exact"/>
        <w:ind w:firstLine="435"/>
        <w:textAlignment w:val="auto"/>
        <w:rPr>
          <w:rFonts w:hint="default"/>
          <w:sz w:val="24"/>
          <w:szCs w:val="24"/>
          <w:lang w:val="en-US" w:eastAsia="zh-CN"/>
        </w:rPr>
      </w:pPr>
      <w:r>
        <w:rPr>
          <w:rFonts w:hint="eastAsia"/>
          <w:sz w:val="24"/>
          <w:szCs w:val="24"/>
          <w:lang w:val="en-US" w:eastAsia="zh-CN"/>
        </w:rPr>
        <w:t>2.优化供应链，提升效率，促进供应链各环节的高效协作，提升整体的运营效率和成本效益。</w:t>
      </w:r>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3.有助于企业识别、评估和管理供应链中的潜在风险，包括法律合规、环境保护、劳工权益等方面的风险，降低潜在的负面影响。</w:t>
      </w:r>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4.有助于企业在环境保护、社会责任和经济发展三方面保持平衡，实现可持续发展，同时履行对社会和环境的责任。</w:t>
      </w:r>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5.注重供应链中劳工权益和环境保护的企业通常能够提供更好的工作环境和福利，增加员工满意度和忠诚度，对周边社区产生积极影响。</w:t>
      </w:r>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6.有助于满足投资者和客户对高道德标准和可持续发展目标的需求。</w:t>
      </w:r>
    </w:p>
    <w:p>
      <w:pPr>
        <w:pStyle w:val="2"/>
        <w:pageBreakBefore w:val="0"/>
        <w:kinsoku/>
        <w:wordWrap/>
        <w:overflowPunct/>
        <w:topLinePunct w:val="0"/>
        <w:autoSpaceDE/>
        <w:autoSpaceDN/>
        <w:bidi w:val="0"/>
        <w:adjustRightInd/>
        <w:snapToGrid/>
        <w:spacing w:line="420" w:lineRule="exact"/>
        <w:textAlignment w:val="auto"/>
        <w:outlineLvl w:val="0"/>
        <w:rPr>
          <w:rFonts w:hint="eastAsia" w:ascii="方正公文黑体" w:hAnsi="方正公文黑体" w:eastAsia="方正公文黑体" w:cs="方正公文黑体"/>
          <w:b/>
          <w:sz w:val="28"/>
          <w:szCs w:val="28"/>
          <w:lang w:val="en-US" w:eastAsia="zh-CN"/>
        </w:rPr>
      </w:pPr>
      <w:bookmarkStart w:id="23" w:name="_Toc7087"/>
      <w:bookmarkStart w:id="24" w:name="_Toc18303"/>
      <w:r>
        <w:rPr>
          <w:rFonts w:hint="eastAsia" w:ascii="方正公文黑体" w:hAnsi="方正公文黑体" w:eastAsia="方正公文黑体" w:cs="方正公文黑体"/>
          <w:b/>
          <w:sz w:val="28"/>
          <w:szCs w:val="28"/>
          <w:lang w:val="en-US" w:eastAsia="zh-CN"/>
        </w:rPr>
        <w:fldChar w:fldCharType="begin"/>
      </w:r>
      <w:r>
        <w:rPr>
          <w:rFonts w:hint="eastAsia" w:ascii="方正公文黑体" w:hAnsi="方正公文黑体" w:eastAsia="方正公文黑体" w:cs="方正公文黑体"/>
          <w:b/>
          <w:sz w:val="28"/>
          <w:szCs w:val="28"/>
          <w:lang w:val="en-US" w:eastAsia="zh-CN"/>
        </w:rPr>
        <w:instrText xml:space="preserve"> HYPERLINK \l _Toc22797 </w:instrText>
      </w:r>
      <w:r>
        <w:rPr>
          <w:rFonts w:hint="eastAsia" w:ascii="方正公文黑体" w:hAnsi="方正公文黑体" w:eastAsia="方正公文黑体" w:cs="方正公文黑体"/>
          <w:b/>
          <w:sz w:val="28"/>
          <w:szCs w:val="28"/>
          <w:lang w:val="en-US" w:eastAsia="zh-CN"/>
        </w:rPr>
        <w:fldChar w:fldCharType="separate"/>
      </w:r>
      <w:r>
        <w:rPr>
          <w:rFonts w:hint="eastAsia" w:ascii="方正公文黑体" w:hAnsi="方正公文黑体" w:eastAsia="方正公文黑体" w:cs="方正公文黑体"/>
          <w:b/>
          <w:sz w:val="28"/>
          <w:szCs w:val="28"/>
          <w:lang w:val="en-US" w:eastAsia="zh-CN"/>
        </w:rPr>
        <w:t>第3章 适用</w:t>
      </w:r>
      <w:r>
        <w:rPr>
          <w:rFonts w:hint="eastAsia" w:ascii="方正公文黑体" w:hAnsi="方正公文黑体" w:eastAsia="方正公文黑体" w:cs="方正公文黑体"/>
          <w:b/>
          <w:sz w:val="28"/>
          <w:szCs w:val="28"/>
          <w:lang w:val="en-US" w:eastAsia="zh-CN"/>
        </w:rPr>
        <w:fldChar w:fldCharType="end"/>
      </w:r>
      <w:r>
        <w:rPr>
          <w:rFonts w:hint="eastAsia" w:ascii="方正公文黑体" w:hAnsi="方正公文黑体" w:eastAsia="方正公文黑体" w:cs="方正公文黑体"/>
          <w:b/>
          <w:sz w:val="28"/>
          <w:szCs w:val="28"/>
          <w:lang w:val="en-US" w:eastAsia="zh-CN"/>
        </w:rPr>
        <w:t>范围</w:t>
      </w:r>
      <w:bookmarkEnd w:id="23"/>
      <w:bookmarkEnd w:id="24"/>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本《指南》适用于白酒供应链上所有涉及</w:t>
      </w:r>
      <w:r>
        <w:rPr>
          <w:rFonts w:hint="eastAsia"/>
          <w:color w:val="000000" w:themeColor="text1"/>
          <w:sz w:val="24"/>
          <w:szCs w:val="24"/>
          <w:lang w:val="en-US" w:eastAsia="zh-CN"/>
          <w14:textFill>
            <w14:solidFill>
              <w14:schemeClr w14:val="tx1"/>
            </w14:solidFill>
          </w14:textFill>
        </w:rPr>
        <w:t>采购</w:t>
      </w:r>
      <w:r>
        <w:rPr>
          <w:rFonts w:hint="eastAsia"/>
          <w:sz w:val="24"/>
          <w:szCs w:val="24"/>
          <w:lang w:val="en-US" w:eastAsia="zh-CN"/>
        </w:rPr>
        <w:t>、生产、营销环节的企业，这些企业包括：</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1.供应商（如高粱、小麦、水源、包装材料以及其他生产所需辅助材料和服务的供应商），第三方服务提供商包括但不限于物流运输公司、广告营销公司、环境和社会责任审核公司等，为白酒供应链的正常运行提供支持的外部服务机构。</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2.生产企业（涵盖生产加工企业）包括原料采购、生产过程、质量控制等环节。</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3.分销商和经销商（涉及白酒产品销售、物流配送的各级分销商和经销商，包括批发商、零售商和直营店、线上平台、第三方渠道等）。</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4.利益相关方（例如政府监管机构、行业协会、消费者、社区以及对白酒行业供应链管理有关注的非政府组织NGO等）。</w:t>
      </w:r>
    </w:p>
    <w:p>
      <w:pPr>
        <w:pStyle w:val="2"/>
        <w:pageBreakBefore w:val="0"/>
        <w:kinsoku/>
        <w:wordWrap/>
        <w:overflowPunct/>
        <w:topLinePunct w:val="0"/>
        <w:autoSpaceDE/>
        <w:autoSpaceDN/>
        <w:bidi w:val="0"/>
        <w:adjustRightInd/>
        <w:snapToGrid/>
        <w:spacing w:line="420" w:lineRule="exact"/>
        <w:textAlignment w:val="auto"/>
        <w:outlineLvl w:val="0"/>
        <w:rPr>
          <w:rFonts w:hint="eastAsia" w:ascii="方正公文黑体" w:hAnsi="方正公文黑体" w:eastAsia="方正公文黑体" w:cs="方正公文黑体"/>
          <w:b/>
          <w:sz w:val="28"/>
          <w:szCs w:val="28"/>
          <w:lang w:val="en-US" w:eastAsia="zh-CN"/>
        </w:rPr>
      </w:pPr>
      <w:bookmarkStart w:id="25" w:name="_Toc8108"/>
      <w:bookmarkStart w:id="26" w:name="_Toc26425"/>
      <w:r>
        <w:rPr>
          <w:rFonts w:hint="eastAsia" w:ascii="方正公文黑体" w:hAnsi="方正公文黑体" w:eastAsia="方正公文黑体" w:cs="方正公文黑体"/>
          <w:b/>
          <w:sz w:val="28"/>
          <w:szCs w:val="28"/>
          <w:lang w:val="en-US" w:eastAsia="zh-CN"/>
        </w:rPr>
        <w:fldChar w:fldCharType="begin"/>
      </w:r>
      <w:r>
        <w:rPr>
          <w:rFonts w:hint="eastAsia" w:ascii="方正公文黑体" w:hAnsi="方正公文黑体" w:eastAsia="方正公文黑体" w:cs="方正公文黑体"/>
          <w:b/>
          <w:sz w:val="28"/>
          <w:szCs w:val="28"/>
          <w:lang w:val="en-US" w:eastAsia="zh-CN"/>
        </w:rPr>
        <w:instrText xml:space="preserve"> HYPERLINK \l _Toc22797 </w:instrText>
      </w:r>
      <w:r>
        <w:rPr>
          <w:rFonts w:hint="eastAsia" w:ascii="方正公文黑体" w:hAnsi="方正公文黑体" w:eastAsia="方正公文黑体" w:cs="方正公文黑体"/>
          <w:b/>
          <w:sz w:val="28"/>
          <w:szCs w:val="28"/>
          <w:lang w:val="en-US" w:eastAsia="zh-CN"/>
        </w:rPr>
        <w:fldChar w:fldCharType="separate"/>
      </w:r>
      <w:r>
        <w:rPr>
          <w:rFonts w:hint="eastAsia" w:ascii="方正公文黑体" w:hAnsi="方正公文黑体" w:eastAsia="方正公文黑体" w:cs="方正公文黑体"/>
          <w:b/>
          <w:sz w:val="28"/>
          <w:szCs w:val="28"/>
          <w:lang w:val="en-US" w:eastAsia="zh-CN"/>
        </w:rPr>
        <w:t>第4章 尽责管理特征</w:t>
      </w:r>
      <w:r>
        <w:rPr>
          <w:rFonts w:hint="eastAsia" w:ascii="方正公文黑体" w:hAnsi="方正公文黑体" w:eastAsia="方正公文黑体" w:cs="方正公文黑体"/>
          <w:b/>
          <w:sz w:val="28"/>
          <w:szCs w:val="28"/>
          <w:lang w:val="en-US" w:eastAsia="zh-CN"/>
        </w:rPr>
        <w:fldChar w:fldCharType="end"/>
      </w:r>
      <w:bookmarkEnd w:id="25"/>
      <w:bookmarkEnd w:id="26"/>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sz w:val="24"/>
          <w:szCs w:val="24"/>
          <w:lang w:val="en-US" w:eastAsia="zh-CN"/>
        </w:rPr>
        <w:t>本《指南》为白酒企业开展供应链尽责管理提供了思路和框架，但尽责管理是持续的、灵活的、动态的过程，企业需根据自身情况以及环境的变化来灵活调整尽责管理措施。企业根据实际适时调整尽责管理的的风险领域，并采取具体的应</w:t>
      </w:r>
      <w:r>
        <w:rPr>
          <w:rFonts w:hint="eastAsia"/>
          <w:color w:val="000000" w:themeColor="text1"/>
          <w:sz w:val="24"/>
          <w:szCs w:val="24"/>
          <w:lang w:val="en-US" w:eastAsia="zh-CN"/>
          <w14:textFill>
            <w14:solidFill>
              <w14:schemeClr w14:val="tx1"/>
            </w14:solidFill>
          </w14:textFill>
        </w:rPr>
        <w:t>对措施。</w:t>
      </w:r>
    </w:p>
    <w:p>
      <w:pPr>
        <w:pageBreakBefore w:val="0"/>
        <w:kinsoku/>
        <w:wordWrap/>
        <w:overflowPunct/>
        <w:topLinePunct w:val="0"/>
        <w:autoSpaceDE/>
        <w:autoSpaceDN/>
        <w:bidi w:val="0"/>
        <w:adjustRightInd/>
        <w:snapToGrid/>
        <w:spacing w:before="107" w:line="420" w:lineRule="exact"/>
        <w:ind w:left="2"/>
        <w:textAlignment w:val="auto"/>
        <w:outlineLvl w:val="1"/>
        <w:rPr>
          <w:rFonts w:ascii="微软雅黑" w:hAnsi="微软雅黑" w:eastAsia="微软雅黑" w:cs="微软雅黑"/>
          <w:color w:val="000000" w:themeColor="text1"/>
          <w:sz w:val="25"/>
          <w:szCs w:val="25"/>
          <w14:textFill>
            <w14:solidFill>
              <w14:schemeClr w14:val="tx1"/>
            </w14:solidFill>
          </w14:textFill>
        </w:rPr>
      </w:pPr>
      <w:bookmarkStart w:id="27" w:name="_Toc24377"/>
      <w:bookmarkStart w:id="28" w:name="_Toc18668"/>
      <w:r>
        <w:rPr>
          <w:rFonts w:ascii="微软雅黑" w:hAnsi="微软雅黑" w:eastAsia="微软雅黑" w:cs="微软雅黑"/>
          <w:b/>
          <w:bCs/>
          <w:color w:val="000000" w:themeColor="text1"/>
          <w:spacing w:val="6"/>
          <w:sz w:val="25"/>
          <w:szCs w:val="25"/>
          <w14:textFill>
            <w14:solidFill>
              <w14:schemeClr w14:val="tx1"/>
            </w14:solidFill>
          </w14:textFill>
        </w:rPr>
        <w:t>4.1 尽责管理重在风险预防</w:t>
      </w:r>
      <w:bookmarkEnd w:id="27"/>
      <w:bookmarkEnd w:id="28"/>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白酒企业实施尽责管理的目的是避免对人、环境与社会造成或助长风险，及时发现运营、服务、战略等直接或间接的风险因素，并采取得当预防措施提前消除风险隐患。若风险不能避免时，企业应该尽量采取措施减轻风险，预防风险隐患再次发生，及时采取补救措施降低风险。</w:t>
      </w:r>
    </w:p>
    <w:p>
      <w:pPr>
        <w:pageBreakBefore w:val="0"/>
        <w:kinsoku/>
        <w:wordWrap/>
        <w:overflowPunct/>
        <w:topLinePunct w:val="0"/>
        <w:autoSpaceDE/>
        <w:autoSpaceDN/>
        <w:bidi w:val="0"/>
        <w:adjustRightInd/>
        <w:snapToGrid/>
        <w:spacing w:before="107" w:line="420" w:lineRule="exact"/>
        <w:ind w:left="2"/>
        <w:textAlignment w:val="auto"/>
        <w:outlineLvl w:val="1"/>
        <w:rPr>
          <w:rFonts w:hint="default" w:ascii="微软雅黑" w:hAnsi="微软雅黑" w:eastAsia="微软雅黑" w:cs="微软雅黑"/>
          <w:b/>
          <w:bCs/>
          <w:color w:val="000000" w:themeColor="text1"/>
          <w:spacing w:val="6"/>
          <w:sz w:val="25"/>
          <w:szCs w:val="25"/>
          <w:lang w:val="en-US" w:eastAsia="zh-CN"/>
          <w14:textFill>
            <w14:solidFill>
              <w14:schemeClr w14:val="tx1"/>
            </w14:solidFill>
          </w14:textFill>
        </w:rPr>
      </w:pPr>
      <w:bookmarkStart w:id="29" w:name="_Toc29829"/>
      <w:bookmarkStart w:id="30" w:name="_Toc32461"/>
      <w:r>
        <w:rPr>
          <w:rFonts w:ascii="微软雅黑" w:hAnsi="微软雅黑" w:eastAsia="微软雅黑" w:cs="微软雅黑"/>
          <w:b/>
          <w:bCs/>
          <w:color w:val="000000" w:themeColor="text1"/>
          <w:spacing w:val="6"/>
          <w:sz w:val="25"/>
          <w:szCs w:val="25"/>
          <w14:textFill>
            <w14:solidFill>
              <w14:schemeClr w14:val="tx1"/>
            </w14:solidFill>
          </w14:textFill>
        </w:rPr>
        <w:t>4.2 尽责管理涉及多个过程</w:t>
      </w:r>
      <w:bookmarkEnd w:id="29"/>
      <w:r>
        <w:rPr>
          <w:rFonts w:hint="eastAsia" w:ascii="微软雅黑" w:hAnsi="微软雅黑" w:eastAsia="微软雅黑" w:cs="微软雅黑"/>
          <w:b/>
          <w:bCs/>
          <w:color w:val="000000" w:themeColor="text1"/>
          <w:spacing w:val="6"/>
          <w:sz w:val="25"/>
          <w:szCs w:val="25"/>
          <w:lang w:val="en-US" w:eastAsia="zh-CN"/>
          <w14:textFill>
            <w14:solidFill>
              <w14:schemeClr w14:val="tx1"/>
            </w14:solidFill>
          </w14:textFill>
        </w:rPr>
        <w:t>与企业目标</w:t>
      </w:r>
      <w:bookmarkEnd w:id="30"/>
    </w:p>
    <w:p>
      <w:pPr>
        <w:pageBreakBefore w:val="0"/>
        <w:kinsoku/>
        <w:wordWrap/>
        <w:overflowPunct/>
        <w:topLinePunct w:val="0"/>
        <w:autoSpaceDE/>
        <w:autoSpaceDN/>
        <w:bidi w:val="0"/>
        <w:adjustRightInd/>
        <w:snapToGrid/>
        <w:spacing w:line="420" w:lineRule="exact"/>
        <w:ind w:firstLine="435"/>
        <w:textAlignment w:val="auto"/>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尽责管理实施过程一般采取六步法，其中包含识别、防范与减轻风险，跟踪实施情况与结果，补救风险，沟通企业如何通过自身运营、供应链与其他业务关系消除风险。尽责管理是企业决策与风险管理不可分割的一部分。其中把负责任商业行为融入到政策与管理体系，可以帮助白酒企业防范对负责任商业行为产生风险，还能通过明确企业战略、开展员工能力建设、确保资源可用等来明确公司高层立场，支持有效的尽责管理。</w:t>
      </w:r>
    </w:p>
    <w:p>
      <w:pPr>
        <w:pageBreakBefore w:val="0"/>
        <w:kinsoku/>
        <w:wordWrap/>
        <w:overflowPunct/>
        <w:topLinePunct w:val="0"/>
        <w:autoSpaceDE/>
        <w:autoSpaceDN/>
        <w:bidi w:val="0"/>
        <w:adjustRightInd/>
        <w:snapToGrid/>
        <w:spacing w:before="107" w:line="420" w:lineRule="exact"/>
        <w:ind w:left="2"/>
        <w:textAlignment w:val="auto"/>
        <w:outlineLvl w:val="1"/>
        <w:rPr>
          <w:rFonts w:hint="default" w:ascii="微软雅黑" w:hAnsi="微软雅黑" w:eastAsia="微软雅黑" w:cs="微软雅黑"/>
          <w:b/>
          <w:bCs/>
          <w:color w:val="000000" w:themeColor="text1"/>
          <w:spacing w:val="6"/>
          <w:sz w:val="25"/>
          <w:szCs w:val="25"/>
          <w:lang w:val="en-US" w:eastAsia="zh-CN"/>
          <w14:textFill>
            <w14:solidFill>
              <w14:schemeClr w14:val="tx1"/>
            </w14:solidFill>
          </w14:textFill>
        </w:rPr>
      </w:pPr>
      <w:bookmarkStart w:id="31" w:name="_Toc1437"/>
      <w:bookmarkStart w:id="32" w:name="_Toc777"/>
      <w:r>
        <w:rPr>
          <w:rFonts w:ascii="微软雅黑" w:hAnsi="微软雅黑" w:eastAsia="微软雅黑" w:cs="微软雅黑"/>
          <w:b/>
          <w:bCs/>
          <w:color w:val="000000" w:themeColor="text1"/>
          <w:spacing w:val="6"/>
          <w:sz w:val="25"/>
          <w:szCs w:val="25"/>
          <w14:textFill>
            <w14:solidFill>
              <w14:schemeClr w14:val="tx1"/>
            </w14:solidFill>
          </w14:textFill>
        </w:rPr>
        <w:t>4.3 尽责管理</w:t>
      </w:r>
      <w:bookmarkEnd w:id="31"/>
      <w:r>
        <w:rPr>
          <w:rFonts w:hint="eastAsia" w:ascii="微软雅黑" w:hAnsi="微软雅黑" w:eastAsia="微软雅黑" w:cs="微软雅黑"/>
          <w:b/>
          <w:bCs/>
          <w:color w:val="000000" w:themeColor="text1"/>
          <w:spacing w:val="6"/>
          <w:sz w:val="25"/>
          <w:szCs w:val="25"/>
          <w:lang w:val="en-US" w:eastAsia="zh-CN"/>
          <w14:textFill>
            <w14:solidFill>
              <w14:schemeClr w14:val="tx1"/>
            </w14:solidFill>
          </w14:textFill>
        </w:rPr>
        <w:t>是基于风险的</w:t>
      </w:r>
      <w:bookmarkEnd w:id="32"/>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尽责管理是基于风险的。企业为开展尽责管理而采取的措施应与风险的严重性与可能性相称。风险的可能性与严重性均很高时，应开展更全面的而深入的尽责管理。尽责管理采取的措施应该与白酒企业因为食品安全、环境与腐败等负责任商业行为产生的风险的性质相一致。这涉及针对特定风险制定相应的方案，并考虑这些风险如何影响不同群体。</w:t>
      </w:r>
    </w:p>
    <w:p>
      <w:pPr>
        <w:pageBreakBefore w:val="0"/>
        <w:kinsoku/>
        <w:wordWrap/>
        <w:overflowPunct/>
        <w:topLinePunct w:val="0"/>
        <w:autoSpaceDE/>
        <w:autoSpaceDN/>
        <w:bidi w:val="0"/>
        <w:adjustRightInd/>
        <w:snapToGrid/>
        <w:spacing w:before="107" w:line="420" w:lineRule="exact"/>
        <w:ind w:left="2"/>
        <w:textAlignment w:val="auto"/>
        <w:outlineLvl w:val="1"/>
        <w:rPr>
          <w:rFonts w:hint="default" w:ascii="微软雅黑" w:hAnsi="微软雅黑" w:eastAsia="微软雅黑" w:cs="微软雅黑"/>
          <w:b/>
          <w:bCs/>
          <w:color w:val="000000" w:themeColor="text1"/>
          <w:spacing w:val="6"/>
          <w:sz w:val="25"/>
          <w:szCs w:val="25"/>
          <w:lang w:val="en-US" w:eastAsia="zh-CN"/>
          <w14:textFill>
            <w14:solidFill>
              <w14:schemeClr w14:val="tx1"/>
            </w14:solidFill>
          </w14:textFill>
        </w:rPr>
      </w:pPr>
      <w:bookmarkStart w:id="33" w:name="_Toc14558"/>
      <w:bookmarkStart w:id="34" w:name="_Toc8285"/>
      <w:r>
        <w:rPr>
          <w:rFonts w:ascii="微软雅黑" w:hAnsi="微软雅黑" w:eastAsia="微软雅黑" w:cs="微软雅黑"/>
          <w:b/>
          <w:bCs/>
          <w:color w:val="000000" w:themeColor="text1"/>
          <w:spacing w:val="6"/>
          <w:sz w:val="25"/>
          <w:szCs w:val="25"/>
          <w14:textFill>
            <w14:solidFill>
              <w14:schemeClr w14:val="tx1"/>
            </w14:solidFill>
          </w14:textFill>
        </w:rPr>
        <w:t>4.4 尽责管理要</w:t>
      </w:r>
      <w:r>
        <w:rPr>
          <w:rFonts w:hint="eastAsia" w:ascii="微软雅黑" w:hAnsi="微软雅黑" w:eastAsia="微软雅黑" w:cs="微软雅黑"/>
          <w:b/>
          <w:bCs/>
          <w:color w:val="000000" w:themeColor="text1"/>
          <w:spacing w:val="6"/>
          <w:sz w:val="25"/>
          <w:szCs w:val="25"/>
          <w:lang w:val="en-US" w:eastAsia="zh-CN"/>
          <w14:textFill>
            <w14:solidFill>
              <w14:schemeClr w14:val="tx1"/>
            </w14:solidFill>
          </w14:textFill>
        </w:rPr>
        <w:t>把风险</w:t>
      </w:r>
      <w:r>
        <w:rPr>
          <w:rFonts w:ascii="微软雅黑" w:hAnsi="微软雅黑" w:eastAsia="微软雅黑" w:cs="微软雅黑"/>
          <w:b/>
          <w:bCs/>
          <w:color w:val="000000" w:themeColor="text1"/>
          <w:spacing w:val="6"/>
          <w:sz w:val="25"/>
          <w:szCs w:val="25"/>
          <w14:textFill>
            <w14:solidFill>
              <w14:schemeClr w14:val="tx1"/>
            </w14:solidFill>
          </w14:textFill>
        </w:rPr>
        <w:t>分</w:t>
      </w:r>
      <w:bookmarkEnd w:id="33"/>
      <w:r>
        <w:rPr>
          <w:rFonts w:hint="eastAsia" w:ascii="微软雅黑" w:hAnsi="微软雅黑" w:eastAsia="微软雅黑" w:cs="微软雅黑"/>
          <w:b/>
          <w:bCs/>
          <w:color w:val="000000" w:themeColor="text1"/>
          <w:spacing w:val="6"/>
          <w:sz w:val="25"/>
          <w:szCs w:val="25"/>
          <w:lang w:val="en-US" w:eastAsia="zh-CN"/>
          <w14:textFill>
            <w14:solidFill>
              <w14:schemeClr w14:val="tx1"/>
            </w14:solidFill>
          </w14:textFill>
        </w:rPr>
        <w:t>优先级顺序</w:t>
      </w:r>
      <w:bookmarkEnd w:id="34"/>
    </w:p>
    <w:p>
      <w:pPr>
        <w:pageBreakBefore w:val="0"/>
        <w:kinsoku/>
        <w:wordWrap/>
        <w:overflowPunct/>
        <w:topLinePunct w:val="0"/>
        <w:autoSpaceDE/>
        <w:autoSpaceDN/>
        <w:bidi w:val="0"/>
        <w:adjustRightInd/>
        <w:snapToGrid/>
        <w:spacing w:line="420" w:lineRule="exact"/>
        <w:ind w:firstLine="435"/>
        <w:textAlignment w:val="auto"/>
        <w:rPr>
          <w:rFonts w:hint="default"/>
          <w:color w:val="FF0000"/>
          <w:sz w:val="24"/>
          <w:szCs w:val="24"/>
          <w:lang w:val="en-US" w:eastAsia="zh-CN"/>
        </w:rPr>
      </w:pPr>
      <w:r>
        <w:rPr>
          <w:rFonts w:hint="eastAsia"/>
          <w:color w:val="000000" w:themeColor="text1"/>
          <w:sz w:val="24"/>
          <w:szCs w:val="24"/>
          <w:lang w:val="en-US" w:eastAsia="zh-CN"/>
          <w14:textFill>
            <w14:solidFill>
              <w14:schemeClr w14:val="tx1"/>
            </w14:solidFill>
          </w14:textFill>
        </w:rPr>
        <w:t>如果不能一次性消除所有已识别的风险，企业应根据风险的严重性，对风险进行优先级排序，同样采取的行动或措施也与之对应的进行优先级排序。一旦最重要的影响得到识别并处理，企业应继续消除相对次要的影响。如果企业正在造成或扩大风险，应该立即停止造成风险的活动，并开展补救。风险管理是动态的，及时调整风险的优先级顺寻，如果出现新的风险，可优先消除，然后再逐一消除次要的风险。</w:t>
      </w:r>
    </w:p>
    <w:p>
      <w:pPr>
        <w:pageBreakBefore w:val="0"/>
        <w:kinsoku/>
        <w:wordWrap/>
        <w:overflowPunct/>
        <w:topLinePunct w:val="0"/>
        <w:autoSpaceDE/>
        <w:autoSpaceDN/>
        <w:bidi w:val="0"/>
        <w:adjustRightInd/>
        <w:snapToGrid/>
        <w:spacing w:before="107" w:line="420" w:lineRule="exact"/>
        <w:ind w:left="2"/>
        <w:textAlignment w:val="auto"/>
        <w:outlineLvl w:val="1"/>
        <w:rPr>
          <w:rFonts w:ascii="微软雅黑" w:hAnsi="微软雅黑" w:eastAsia="微软雅黑" w:cs="微软雅黑"/>
          <w:b/>
          <w:bCs/>
          <w:color w:val="000000" w:themeColor="text1"/>
          <w:spacing w:val="6"/>
          <w:sz w:val="25"/>
          <w:szCs w:val="25"/>
          <w14:textFill>
            <w14:solidFill>
              <w14:schemeClr w14:val="tx1"/>
            </w14:solidFill>
          </w14:textFill>
        </w:rPr>
      </w:pPr>
      <w:bookmarkStart w:id="35" w:name="_Toc4472"/>
      <w:bookmarkStart w:id="36" w:name="_Toc17651"/>
      <w:r>
        <w:rPr>
          <w:rFonts w:ascii="微软雅黑" w:hAnsi="微软雅黑" w:eastAsia="微软雅黑" w:cs="微软雅黑"/>
          <w:b/>
          <w:bCs/>
          <w:color w:val="000000" w:themeColor="text1"/>
          <w:spacing w:val="6"/>
          <w:sz w:val="25"/>
          <w:szCs w:val="25"/>
          <w14:textFill>
            <w14:solidFill>
              <w14:schemeClr w14:val="tx1"/>
            </w14:solidFill>
          </w14:textFill>
        </w:rPr>
        <w:t>4.5 尽责管理</w:t>
      </w:r>
      <w:r>
        <w:rPr>
          <w:rFonts w:hint="eastAsia" w:ascii="微软雅黑" w:hAnsi="微软雅黑" w:eastAsia="微软雅黑" w:cs="微软雅黑"/>
          <w:b/>
          <w:bCs/>
          <w:color w:val="000000" w:themeColor="text1"/>
          <w:spacing w:val="6"/>
          <w:sz w:val="25"/>
          <w:szCs w:val="25"/>
          <w:lang w:val="en-US" w:eastAsia="zh-CN"/>
          <w14:textFill>
            <w14:solidFill>
              <w14:schemeClr w14:val="tx1"/>
            </w14:solidFill>
          </w14:textFill>
        </w:rPr>
        <w:t>需要动态管理，倡导</w:t>
      </w:r>
      <w:r>
        <w:rPr>
          <w:rFonts w:ascii="微软雅黑" w:hAnsi="微软雅黑" w:eastAsia="微软雅黑" w:cs="微软雅黑"/>
          <w:b/>
          <w:bCs/>
          <w:color w:val="000000" w:themeColor="text1"/>
          <w:spacing w:val="6"/>
          <w:sz w:val="25"/>
          <w:szCs w:val="25"/>
          <w14:textFill>
            <w14:solidFill>
              <w14:schemeClr w14:val="tx1"/>
            </w14:solidFill>
          </w14:textFill>
        </w:rPr>
        <w:t>持续改进</w:t>
      </w:r>
      <w:bookmarkEnd w:id="35"/>
      <w:bookmarkEnd w:id="36"/>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尽责管理的过程需要动态调整，持续进行，快速响应。尽责管理应采取PDCA闭环管理。尽责管理应逐步改善体系与过程，以避免并消除风险。通过实施尽责管理，企业能充分应对内外部环境的变化（如国家的监管框架发生变化、行业中出现新的风险、开发新产品或新业务关系）可能带来的风险状况的变化。</w:t>
      </w:r>
    </w:p>
    <w:p>
      <w:pPr>
        <w:pageBreakBefore w:val="0"/>
        <w:kinsoku/>
        <w:wordWrap/>
        <w:overflowPunct/>
        <w:topLinePunct w:val="0"/>
        <w:autoSpaceDE/>
        <w:autoSpaceDN/>
        <w:bidi w:val="0"/>
        <w:adjustRightInd/>
        <w:snapToGrid/>
        <w:spacing w:before="107" w:line="420" w:lineRule="exact"/>
        <w:ind w:left="2"/>
        <w:textAlignment w:val="auto"/>
        <w:outlineLvl w:val="1"/>
        <w:rPr>
          <w:rFonts w:ascii="微软雅黑" w:hAnsi="微软雅黑" w:eastAsia="微软雅黑" w:cs="微软雅黑"/>
          <w:b/>
          <w:bCs/>
          <w:color w:val="000000" w:themeColor="text1"/>
          <w:spacing w:val="6"/>
          <w:sz w:val="25"/>
          <w:szCs w:val="25"/>
          <w14:textFill>
            <w14:solidFill>
              <w14:schemeClr w14:val="tx1"/>
            </w14:solidFill>
          </w14:textFill>
        </w:rPr>
      </w:pPr>
      <w:bookmarkStart w:id="37" w:name="_Toc19792"/>
      <w:bookmarkStart w:id="38" w:name="_Toc25305"/>
      <w:r>
        <w:rPr>
          <w:rFonts w:ascii="微软雅黑" w:hAnsi="微软雅黑" w:eastAsia="微软雅黑" w:cs="微软雅黑"/>
          <w:b/>
          <w:bCs/>
          <w:color w:val="000000" w:themeColor="text1"/>
          <w:spacing w:val="6"/>
          <w:sz w:val="25"/>
          <w:szCs w:val="25"/>
          <w14:textFill>
            <w14:solidFill>
              <w14:schemeClr w14:val="tx1"/>
            </w14:solidFill>
          </w14:textFill>
        </w:rPr>
        <w:t>4.6 尽责管理</w:t>
      </w:r>
      <w:r>
        <w:rPr>
          <w:rFonts w:hint="eastAsia" w:ascii="微软雅黑" w:hAnsi="微软雅黑" w:eastAsia="微软雅黑" w:cs="微软雅黑"/>
          <w:b/>
          <w:bCs/>
          <w:color w:val="000000" w:themeColor="text1"/>
          <w:spacing w:val="6"/>
          <w:sz w:val="25"/>
          <w:szCs w:val="25"/>
          <w:lang w:val="en-US" w:eastAsia="zh-CN"/>
          <w14:textFill>
            <w14:solidFill>
              <w14:schemeClr w14:val="tx1"/>
            </w14:solidFill>
          </w14:textFill>
        </w:rPr>
        <w:t>不</w:t>
      </w:r>
      <w:r>
        <w:rPr>
          <w:rFonts w:ascii="微软雅黑" w:hAnsi="微软雅黑" w:eastAsia="微软雅黑" w:cs="微软雅黑"/>
          <w:b/>
          <w:bCs/>
          <w:color w:val="000000" w:themeColor="text1"/>
          <w:spacing w:val="6"/>
          <w:sz w:val="25"/>
          <w:szCs w:val="25"/>
          <w14:textFill>
            <w14:solidFill>
              <w14:schemeClr w14:val="tx1"/>
            </w14:solidFill>
          </w14:textFill>
        </w:rPr>
        <w:t>转嫁责任</w:t>
      </w:r>
      <w:bookmarkEnd w:id="37"/>
      <w:bookmarkEnd w:id="38"/>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白酒供应链上下游企业均有责任识别并消除风险。本《指南》遵从《经合组织跨国企业准则》的价值主张，所提出的尽责管理建议，其意图不是为了将责任从政府转移到企业，或者把责任转移到造成或助长风险的直接相关企业，而是建议每个企业对风险履行自身的责任。某些情况下，风险与企业的运营、产品或服务直接相关，企业应尽量寻求利用自身影响力，单独或寻求合作来驱动变革。</w:t>
      </w:r>
    </w:p>
    <w:p>
      <w:pPr>
        <w:pageBreakBefore w:val="0"/>
        <w:kinsoku/>
        <w:wordWrap/>
        <w:overflowPunct/>
        <w:topLinePunct w:val="0"/>
        <w:autoSpaceDE/>
        <w:autoSpaceDN/>
        <w:bidi w:val="0"/>
        <w:adjustRightInd/>
        <w:snapToGrid/>
        <w:spacing w:before="107" w:line="420" w:lineRule="exact"/>
        <w:ind w:left="2"/>
        <w:textAlignment w:val="auto"/>
        <w:outlineLvl w:val="1"/>
        <w:rPr>
          <w:rFonts w:ascii="微软雅黑" w:hAnsi="微软雅黑" w:eastAsia="微软雅黑" w:cs="微软雅黑"/>
          <w:b/>
          <w:bCs/>
          <w:color w:val="000000" w:themeColor="text1"/>
          <w:spacing w:val="6"/>
          <w:sz w:val="25"/>
          <w:szCs w:val="25"/>
          <w14:textFill>
            <w14:solidFill>
              <w14:schemeClr w14:val="tx1"/>
            </w14:solidFill>
          </w14:textFill>
        </w:rPr>
      </w:pPr>
      <w:bookmarkStart w:id="39" w:name="_Toc26538"/>
      <w:bookmarkStart w:id="40" w:name="_Toc27904"/>
      <w:r>
        <w:rPr>
          <w:rFonts w:ascii="微软雅黑" w:hAnsi="微软雅黑" w:eastAsia="微软雅黑" w:cs="微软雅黑"/>
          <w:b/>
          <w:bCs/>
          <w:color w:val="000000" w:themeColor="text1"/>
          <w:spacing w:val="6"/>
          <w:sz w:val="25"/>
          <w:szCs w:val="25"/>
          <w14:textFill>
            <w14:solidFill>
              <w14:schemeClr w14:val="tx1"/>
            </w14:solidFill>
          </w14:textFill>
        </w:rPr>
        <w:t>4.7 尽责管理</w:t>
      </w:r>
      <w:r>
        <w:rPr>
          <w:rFonts w:hint="eastAsia" w:ascii="微软雅黑" w:hAnsi="微软雅黑" w:eastAsia="微软雅黑" w:cs="微软雅黑"/>
          <w:b/>
          <w:bCs/>
          <w:color w:val="000000" w:themeColor="text1"/>
          <w:spacing w:val="6"/>
          <w:sz w:val="25"/>
          <w:szCs w:val="25"/>
          <w:lang w:val="en-US" w:eastAsia="zh-CN"/>
          <w14:textFill>
            <w14:solidFill>
              <w14:schemeClr w14:val="tx1"/>
            </w14:solidFill>
          </w14:textFill>
        </w:rPr>
        <w:t>首先要</w:t>
      </w:r>
      <w:r>
        <w:rPr>
          <w:rFonts w:ascii="微软雅黑" w:hAnsi="微软雅黑" w:eastAsia="微软雅黑" w:cs="微软雅黑"/>
          <w:b/>
          <w:bCs/>
          <w:color w:val="000000" w:themeColor="text1"/>
          <w:spacing w:val="6"/>
          <w:sz w:val="25"/>
          <w:szCs w:val="25"/>
          <w14:textFill>
            <w14:solidFill>
              <w14:schemeClr w14:val="tx1"/>
            </w14:solidFill>
          </w14:textFill>
        </w:rPr>
        <w:t>合规</w:t>
      </w:r>
      <w:bookmarkEnd w:id="39"/>
      <w:bookmarkEnd w:id="40"/>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白酒供应链所涉及的企业及合作伙伴必须第一遵守的是中国相关的法律和法规。同时也强调在商业活动中遵循高标准的道德准则。尽责管理能够帮助企业识别与履行国家的法律义务，同时，本《指南》也识别了与尽责管理和负责任商业行为有关的国家或区域性法规，以及国家认证、管理体系等相关的合规要求，企业可参考本《指南》并结合本企业的现状来响应和履行各方对于尽责管理的要求。</w:t>
      </w:r>
    </w:p>
    <w:p>
      <w:pPr>
        <w:pageBreakBefore w:val="0"/>
        <w:kinsoku/>
        <w:wordWrap/>
        <w:overflowPunct/>
        <w:topLinePunct w:val="0"/>
        <w:autoSpaceDE/>
        <w:autoSpaceDN/>
        <w:bidi w:val="0"/>
        <w:adjustRightInd/>
        <w:snapToGrid/>
        <w:spacing w:before="107" w:line="420" w:lineRule="exact"/>
        <w:ind w:left="2"/>
        <w:textAlignment w:val="auto"/>
        <w:outlineLvl w:val="1"/>
        <w:rPr>
          <w:rFonts w:ascii="微软雅黑" w:hAnsi="微软雅黑" w:eastAsia="微软雅黑" w:cs="微软雅黑"/>
          <w:b/>
          <w:bCs/>
          <w:color w:val="000000" w:themeColor="text1"/>
          <w:spacing w:val="6"/>
          <w:sz w:val="25"/>
          <w:szCs w:val="25"/>
          <w14:textFill>
            <w14:solidFill>
              <w14:schemeClr w14:val="tx1"/>
            </w14:solidFill>
          </w14:textFill>
        </w:rPr>
      </w:pPr>
      <w:bookmarkStart w:id="41" w:name="_Toc3807"/>
      <w:bookmarkStart w:id="42" w:name="_Toc21051"/>
      <w:r>
        <w:rPr>
          <w:rFonts w:ascii="微软雅黑" w:hAnsi="微软雅黑" w:eastAsia="微软雅黑" w:cs="微软雅黑"/>
          <w:b/>
          <w:bCs/>
          <w:color w:val="000000" w:themeColor="text1"/>
          <w:spacing w:val="6"/>
          <w:sz w:val="25"/>
          <w:szCs w:val="25"/>
          <w14:textFill>
            <w14:solidFill>
              <w14:schemeClr w14:val="tx1"/>
            </w14:solidFill>
          </w14:textFill>
        </w:rPr>
        <w:t>4.8 尽责管理符合企业情况</w:t>
      </w:r>
      <w:bookmarkEnd w:id="41"/>
      <w:bookmarkEnd w:id="42"/>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尽责管理要评估企业自身现状，充分了解自身企业状况来实施。尽责管理的性质与程度可能受多个因素的影响，如企业规模、运营环境、商业模式、供应链中的位置，及其产品或服务的性质。业务范围广、产品或服务众多的大型企业，与产品或服务种类有限的小型企业相比，需要更正式 、更全面的制度，以有效识别与管理风险。</w:t>
      </w:r>
    </w:p>
    <w:p>
      <w:pPr>
        <w:pageBreakBefore w:val="0"/>
        <w:kinsoku/>
        <w:wordWrap/>
        <w:overflowPunct/>
        <w:topLinePunct w:val="0"/>
        <w:autoSpaceDE/>
        <w:autoSpaceDN/>
        <w:bidi w:val="0"/>
        <w:adjustRightInd/>
        <w:snapToGrid/>
        <w:spacing w:before="107" w:line="420" w:lineRule="exact"/>
        <w:ind w:left="2"/>
        <w:textAlignment w:val="auto"/>
        <w:outlineLvl w:val="1"/>
        <w:rPr>
          <w:rFonts w:ascii="微软雅黑" w:hAnsi="微软雅黑" w:eastAsia="微软雅黑" w:cs="微软雅黑"/>
          <w:b/>
          <w:bCs/>
          <w:color w:val="000000" w:themeColor="text1"/>
          <w:spacing w:val="6"/>
          <w:sz w:val="25"/>
          <w:szCs w:val="25"/>
          <w14:textFill>
            <w14:solidFill>
              <w14:schemeClr w14:val="tx1"/>
            </w14:solidFill>
          </w14:textFill>
        </w:rPr>
      </w:pPr>
      <w:bookmarkStart w:id="43" w:name="_Toc17591"/>
      <w:bookmarkStart w:id="44" w:name="_Toc23510"/>
      <w:r>
        <w:rPr>
          <w:rFonts w:ascii="微软雅黑" w:hAnsi="微软雅黑" w:eastAsia="微软雅黑" w:cs="微软雅黑"/>
          <w:b/>
          <w:bCs/>
          <w:color w:val="000000" w:themeColor="text1"/>
          <w:spacing w:val="6"/>
          <w:sz w:val="25"/>
          <w:szCs w:val="25"/>
          <w14:textFill>
            <w14:solidFill>
              <w14:schemeClr w14:val="tx1"/>
            </w14:solidFill>
          </w14:textFill>
        </w:rPr>
        <w:t>4.9</w:t>
      </w:r>
      <w:r>
        <w:rPr>
          <w:rFonts w:hint="eastAsia" w:ascii="微软雅黑" w:hAnsi="微软雅黑" w:eastAsia="微软雅黑" w:cs="微软雅黑"/>
          <w:b/>
          <w:bCs/>
          <w:color w:val="000000" w:themeColor="text1"/>
          <w:spacing w:val="6"/>
          <w:sz w:val="25"/>
          <w:szCs w:val="25"/>
          <w:lang w:val="en-US" w:eastAsia="zh-CN"/>
          <w14:textFill>
            <w14:solidFill>
              <w14:schemeClr w14:val="tx1"/>
            </w14:solidFill>
          </w14:textFill>
        </w:rPr>
        <w:t xml:space="preserve"> </w:t>
      </w:r>
      <w:r>
        <w:rPr>
          <w:rFonts w:ascii="微软雅黑" w:hAnsi="微软雅黑" w:eastAsia="微软雅黑" w:cs="微软雅黑"/>
          <w:b/>
          <w:bCs/>
          <w:color w:val="000000" w:themeColor="text1"/>
          <w:spacing w:val="6"/>
          <w:sz w:val="25"/>
          <w:szCs w:val="25"/>
          <w14:textFill>
            <w14:solidFill>
              <w14:schemeClr w14:val="tx1"/>
            </w14:solidFill>
          </w14:textFill>
        </w:rPr>
        <w:t>尽责管理通过与利益相关方合作的方式开展</w:t>
      </w:r>
      <w:bookmarkEnd w:id="43"/>
      <w:bookmarkEnd w:id="44"/>
    </w:p>
    <w:p>
      <w:pPr>
        <w:pageBreakBefore w:val="0"/>
        <w:kinsoku/>
        <w:wordWrap/>
        <w:overflowPunct/>
        <w:topLinePunct w:val="0"/>
        <w:autoSpaceDE/>
        <w:autoSpaceDN/>
        <w:bidi w:val="0"/>
        <w:adjustRightInd/>
        <w:snapToGrid/>
        <w:spacing w:line="420" w:lineRule="exact"/>
        <w:ind w:firstLine="435"/>
        <w:textAlignment w:val="auto"/>
        <w:rPr>
          <w:rFonts w:hint="eastAsia"/>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利益相关方是指所有与企业经营相关的个人、企业、社会、投资方、政府等。企业与利益相关方的沟通一定是双向沟通。及时分享企业信息给利益相关方是企业的责任；及时获得企业信息，是利益相关方的知情权，同时双方及时真诚有效沟通更能或等对方的理解与支持。白酒企业要想在整个尽责管理过程中取得成功，需要利益相关方的参与与合作，共同完成。尤其是企业可能造成或助长风险时，与受影响或潜在受影响的利益相关方及时分享和合作将更为重要。</w:t>
      </w:r>
    </w:p>
    <w:p>
      <w:pPr>
        <w:pageBreakBefore w:val="0"/>
        <w:kinsoku/>
        <w:wordWrap/>
        <w:overflowPunct/>
        <w:topLinePunct w:val="0"/>
        <w:autoSpaceDE/>
        <w:autoSpaceDN/>
        <w:bidi w:val="0"/>
        <w:adjustRightInd/>
        <w:snapToGrid/>
        <w:spacing w:before="107" w:line="420" w:lineRule="exact"/>
        <w:ind w:left="2"/>
        <w:textAlignment w:val="auto"/>
        <w:outlineLvl w:val="1"/>
        <w:rPr>
          <w:rFonts w:ascii="微软雅黑" w:hAnsi="微软雅黑" w:eastAsia="微软雅黑" w:cs="微软雅黑"/>
          <w:b/>
          <w:bCs/>
          <w:color w:val="000000" w:themeColor="text1"/>
          <w:spacing w:val="6"/>
          <w:sz w:val="25"/>
          <w:szCs w:val="25"/>
          <w14:textFill>
            <w14:solidFill>
              <w14:schemeClr w14:val="tx1"/>
            </w14:solidFill>
          </w14:textFill>
        </w:rPr>
      </w:pPr>
      <w:bookmarkStart w:id="45" w:name="_Toc31608"/>
      <w:bookmarkStart w:id="46" w:name="_Toc16528"/>
      <w:r>
        <w:rPr>
          <w:rFonts w:ascii="微软雅黑" w:hAnsi="微软雅黑" w:eastAsia="微软雅黑" w:cs="微软雅黑"/>
          <w:b/>
          <w:bCs/>
          <w:color w:val="000000" w:themeColor="text1"/>
          <w:spacing w:val="6"/>
          <w:sz w:val="25"/>
          <w:szCs w:val="25"/>
          <w14:textFill>
            <w14:solidFill>
              <w14:schemeClr w14:val="tx1"/>
            </w14:solidFill>
          </w14:textFill>
        </w:rPr>
        <w:t>4.10 尽责管理过程要保持持续有效沟通</w:t>
      </w:r>
      <w:bookmarkEnd w:id="45"/>
      <w:bookmarkEnd w:id="46"/>
    </w:p>
    <w:p>
      <w:pPr>
        <w:pageBreakBefore w:val="0"/>
        <w:kinsoku/>
        <w:wordWrap/>
        <w:overflowPunct/>
        <w:topLinePunct w:val="0"/>
        <w:autoSpaceDE/>
        <w:autoSpaceDN/>
        <w:bidi w:val="0"/>
        <w:adjustRightInd/>
        <w:snapToGrid/>
        <w:spacing w:line="420" w:lineRule="exact"/>
        <w:ind w:firstLine="435"/>
        <w:textAlignment w:val="auto"/>
        <w:rPr>
          <w:rFonts w:hint="eastAsia"/>
          <w:color w:val="FF0000"/>
          <w:sz w:val="24"/>
          <w:szCs w:val="24"/>
          <w:lang w:val="en-US" w:eastAsia="zh-CN"/>
        </w:rPr>
      </w:pPr>
      <w:r>
        <w:rPr>
          <w:rFonts w:hint="eastAsia"/>
          <w:color w:val="000000" w:themeColor="text1"/>
          <w:sz w:val="24"/>
          <w:szCs w:val="24"/>
          <w:lang w:val="en-US" w:eastAsia="zh-CN"/>
          <w14:textFill>
            <w14:solidFill>
              <w14:schemeClr w14:val="tx1"/>
            </w14:solidFill>
          </w14:textFill>
        </w:rPr>
        <w:t>尽责管理过程的信息、结果与计划均需要持续有效的沟通。适时有效的沟通，能取得利益相关方的信任并促使其行动与决策，并展示企业的真诚与透明。企业可以通过尽责管理报告等方式来说明自身如何识别与消除实际或潜在风险，并和上下游企业、消费者、及其他利益相关方进行充分沟通，沟通时注意采取对方能接受的策略和方法，同时注意保密。</w:t>
      </w:r>
    </w:p>
    <w:p>
      <w:pPr>
        <w:pStyle w:val="2"/>
        <w:pageBreakBefore w:val="0"/>
        <w:kinsoku/>
        <w:wordWrap/>
        <w:overflowPunct/>
        <w:topLinePunct w:val="0"/>
        <w:autoSpaceDE/>
        <w:autoSpaceDN/>
        <w:bidi w:val="0"/>
        <w:adjustRightInd/>
        <w:snapToGrid/>
        <w:spacing w:line="420" w:lineRule="exact"/>
        <w:textAlignment w:val="auto"/>
        <w:outlineLvl w:val="0"/>
        <w:rPr>
          <w:rFonts w:hint="eastAsia" w:ascii="方正公文黑体" w:hAnsi="方正公文黑体" w:eastAsia="方正公文黑体" w:cs="方正公文黑体"/>
          <w:sz w:val="28"/>
          <w:szCs w:val="28"/>
          <w:lang w:val="en-US" w:eastAsia="zh-CN"/>
        </w:rPr>
      </w:pPr>
      <w:bookmarkStart w:id="47" w:name="_Toc17779"/>
      <w:bookmarkStart w:id="48" w:name="_Toc32324"/>
      <w:r>
        <w:rPr>
          <w:rFonts w:hint="eastAsia" w:ascii="方正公文黑体" w:hAnsi="方正公文黑体" w:eastAsia="方正公文黑体" w:cs="方正公文黑体"/>
          <w:sz w:val="28"/>
          <w:szCs w:val="28"/>
          <w:lang w:val="en-US" w:eastAsia="zh-CN"/>
        </w:rPr>
        <w:fldChar w:fldCharType="begin"/>
      </w:r>
      <w:r>
        <w:rPr>
          <w:rFonts w:hint="eastAsia" w:ascii="方正公文黑体" w:hAnsi="方正公文黑体" w:eastAsia="方正公文黑体" w:cs="方正公文黑体"/>
          <w:sz w:val="28"/>
          <w:szCs w:val="28"/>
          <w:lang w:val="en-US" w:eastAsia="zh-CN"/>
        </w:rPr>
        <w:instrText xml:space="preserve"> HYPERLINK \l _Toc9662 </w:instrText>
      </w:r>
      <w:r>
        <w:rPr>
          <w:rFonts w:hint="eastAsia" w:ascii="方正公文黑体" w:hAnsi="方正公文黑体" w:eastAsia="方正公文黑体" w:cs="方正公文黑体"/>
          <w:sz w:val="28"/>
          <w:szCs w:val="28"/>
          <w:lang w:val="en-US" w:eastAsia="zh-CN"/>
        </w:rPr>
        <w:fldChar w:fldCharType="separate"/>
      </w:r>
      <w:r>
        <w:rPr>
          <w:rFonts w:hint="eastAsia" w:ascii="方正公文黑体" w:hAnsi="方正公文黑体" w:eastAsia="方正公文黑体" w:cs="方正公文黑体"/>
          <w:sz w:val="28"/>
          <w:szCs w:val="28"/>
          <w:lang w:val="en-US" w:eastAsia="zh-CN"/>
        </w:rPr>
        <w:t>第5章 尽责管理过程</w:t>
      </w:r>
      <w:r>
        <w:rPr>
          <w:rFonts w:hint="eastAsia" w:ascii="方正公文黑体" w:hAnsi="方正公文黑体" w:eastAsia="方正公文黑体" w:cs="方正公文黑体"/>
          <w:sz w:val="28"/>
          <w:szCs w:val="28"/>
          <w:lang w:val="en-US" w:eastAsia="zh-CN"/>
        </w:rPr>
        <w:fldChar w:fldCharType="end"/>
      </w:r>
      <w:bookmarkEnd w:id="47"/>
      <w:bookmarkEnd w:id="48"/>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sz w:val="24"/>
          <w:szCs w:val="24"/>
          <w:lang w:val="en-US" w:eastAsia="zh-CN"/>
        </w:rPr>
      </w:pPr>
      <w:bookmarkStart w:id="49" w:name="_Toc24715"/>
      <w:bookmarkStart w:id="50" w:name="_Toc10682"/>
      <w:bookmarkStart w:id="51" w:name="_Toc25834"/>
      <w:r>
        <w:rPr>
          <w:rFonts w:hint="eastAsia"/>
          <w:color w:val="FF0000"/>
          <w:lang w:val="en-US" w:eastAsia="zh-CN"/>
        </w:rPr>
        <w:t xml:space="preserve">    </w:t>
      </w:r>
      <w:r>
        <w:rPr>
          <w:rFonts w:hint="eastAsia"/>
          <w:sz w:val="24"/>
          <w:szCs w:val="24"/>
          <w:lang w:val="en-US" w:eastAsia="zh-CN"/>
        </w:rPr>
        <w:t>考虑到尽责管理应与风险相称并符合白酒企业的情况和情景，以下部分包含各项措施：（1）将负责任商业行为融入到企业政策与管理体系：通过以下方式开展尽责管理（2）识别对负责任商业行为议题的实际或潜在风险；（3）终止、防范或减轻风险；（4）根据实施情况与结果；（5）沟通如何消除影响；以及（6）适时实现补救。如图1 所示：</w:t>
      </w:r>
    </w:p>
    <w:p>
      <w:pPr>
        <w:rPr>
          <w:rFonts w:hint="default"/>
          <w:color w:val="FF0000"/>
          <w:lang w:val="en-US" w:eastAsia="zh-CN"/>
        </w:rPr>
      </w:pPr>
    </w:p>
    <w:p>
      <w:pPr>
        <w:rPr>
          <w:rFonts w:hint="default"/>
          <w:color w:val="FF0000"/>
          <w:lang w:val="en-US" w:eastAsia="zh-CN"/>
        </w:rPr>
      </w:pPr>
      <w:r>
        <w:rPr>
          <w:rFonts w:hint="default"/>
          <w:color w:val="FF0000"/>
          <w:lang w:val="en-US" w:eastAsia="zh-CN"/>
        </w:rPr>
        <w:drawing>
          <wp:anchor distT="0" distB="0" distL="114300" distR="114300" simplePos="0" relativeHeight="251661312" behindDoc="0" locked="0" layoutInCell="1" allowOverlap="1">
            <wp:simplePos x="0" y="0"/>
            <wp:positionH relativeFrom="column">
              <wp:posOffset>529590</wp:posOffset>
            </wp:positionH>
            <wp:positionV relativeFrom="paragraph">
              <wp:posOffset>181610</wp:posOffset>
            </wp:positionV>
            <wp:extent cx="4970780" cy="3159760"/>
            <wp:effectExtent l="0" t="0" r="1270" b="2540"/>
            <wp:wrapNone/>
            <wp:docPr id="6" name="图片 6" descr="1707359988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07359988358"/>
                    <pic:cNvPicPr>
                      <a:picLocks noChangeAspect="1"/>
                    </pic:cNvPicPr>
                  </pic:nvPicPr>
                  <pic:blipFill>
                    <a:blip r:embed="rId6"/>
                    <a:stretch>
                      <a:fillRect/>
                    </a:stretch>
                  </pic:blipFill>
                  <pic:spPr>
                    <a:xfrm>
                      <a:off x="0" y="0"/>
                      <a:ext cx="4970780" cy="3159760"/>
                    </a:xfrm>
                    <a:prstGeom prst="rect">
                      <a:avLst/>
                    </a:prstGeom>
                  </pic:spPr>
                </pic:pic>
              </a:graphicData>
            </a:graphic>
          </wp:anchor>
        </w:drawing>
      </w: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rPr>
          <w:rFonts w:hint="default"/>
          <w:color w:val="FF0000"/>
          <w:lang w:val="en-US" w:eastAsia="zh-CN"/>
        </w:rPr>
      </w:pPr>
    </w:p>
    <w:p>
      <w:pPr>
        <w:spacing w:before="86" w:line="195" w:lineRule="auto"/>
        <w:jc w:val="center"/>
        <w:rPr>
          <w:rFonts w:ascii="微软雅黑" w:hAnsi="微软雅黑" w:eastAsia="微软雅黑" w:cs="微软雅黑"/>
          <w:color w:val="4D6170"/>
          <w:spacing w:val="-2"/>
          <w:sz w:val="20"/>
          <w:szCs w:val="20"/>
        </w:rPr>
      </w:pPr>
      <w:bookmarkStart w:id="52" w:name="_Toc5983"/>
    </w:p>
    <w:p>
      <w:pPr>
        <w:spacing w:before="86" w:line="195" w:lineRule="auto"/>
        <w:jc w:val="center"/>
        <w:rPr>
          <w:rFonts w:ascii="微软雅黑" w:hAnsi="微软雅黑" w:eastAsia="微软雅黑" w:cs="微软雅黑"/>
          <w:color w:val="4D6170"/>
          <w:spacing w:val="-2"/>
          <w:sz w:val="20"/>
          <w:szCs w:val="20"/>
        </w:rPr>
      </w:pPr>
    </w:p>
    <w:p>
      <w:pPr>
        <w:spacing w:before="86" w:line="195" w:lineRule="auto"/>
        <w:jc w:val="center"/>
        <w:rPr>
          <w:rFonts w:ascii="微软雅黑" w:hAnsi="微软雅黑" w:eastAsia="微软雅黑" w:cs="微软雅黑"/>
          <w:color w:val="4D6170"/>
          <w:spacing w:val="-2"/>
          <w:sz w:val="20"/>
          <w:szCs w:val="20"/>
        </w:rPr>
      </w:pPr>
      <w:r>
        <w:rPr>
          <w:rFonts w:ascii="微软雅黑" w:hAnsi="微软雅黑" w:eastAsia="微软雅黑" w:cs="微软雅黑"/>
          <w:color w:val="4D6170"/>
          <w:spacing w:val="-2"/>
          <w:sz w:val="20"/>
          <w:szCs w:val="20"/>
        </w:rPr>
        <w:t>图</w:t>
      </w:r>
      <w:r>
        <w:rPr>
          <w:rFonts w:hint="eastAsia" w:ascii="微软雅黑" w:hAnsi="微软雅黑" w:eastAsia="微软雅黑" w:cs="微软雅黑"/>
          <w:color w:val="4D6170"/>
          <w:spacing w:val="-2"/>
          <w:sz w:val="20"/>
          <w:szCs w:val="20"/>
          <w:lang w:val="en-US" w:eastAsia="zh-CN"/>
        </w:rPr>
        <w:t>5-</w:t>
      </w:r>
      <w:r>
        <w:rPr>
          <w:rFonts w:ascii="微软雅黑" w:hAnsi="微软雅黑" w:eastAsia="微软雅黑" w:cs="微软雅黑"/>
          <w:color w:val="4D6170"/>
          <w:spacing w:val="-2"/>
          <w:sz w:val="20"/>
          <w:szCs w:val="20"/>
        </w:rPr>
        <w:t>1 尽责管理过程与配套措施</w:t>
      </w:r>
    </w:p>
    <w:p>
      <w:pPr>
        <w:pStyle w:val="2"/>
        <w:pageBreakBefore w:val="0"/>
        <w:kinsoku/>
        <w:wordWrap/>
        <w:overflowPunct/>
        <w:topLinePunct w:val="0"/>
        <w:autoSpaceDE/>
        <w:autoSpaceDN/>
        <w:bidi w:val="0"/>
        <w:adjustRightInd/>
        <w:snapToGrid/>
        <w:spacing w:line="420" w:lineRule="exact"/>
        <w:textAlignment w:val="auto"/>
        <w:rPr>
          <w:rFonts w:hint="default" w:ascii="方正公文黑体" w:hAnsi="方正公文黑体" w:eastAsia="方正公文黑体" w:cs="方正公文黑体"/>
          <w:sz w:val="28"/>
          <w:szCs w:val="28"/>
          <w:lang w:val="en-US" w:eastAsia="zh-CN"/>
        </w:rPr>
      </w:pPr>
      <w:bookmarkStart w:id="53" w:name="_Toc13958"/>
      <w:bookmarkStart w:id="54" w:name="_Toc12519"/>
      <w:r>
        <w:rPr>
          <w:rFonts w:hint="eastAsia" w:ascii="方正公文黑体" w:hAnsi="方正公文黑体" w:eastAsia="方正公文黑体" w:cs="方正公文黑体"/>
          <w:sz w:val="28"/>
          <w:szCs w:val="28"/>
          <w:lang w:val="en-US" w:eastAsia="zh-CN"/>
        </w:rPr>
        <w:t>5.1白酒企业采购过程尽责管理</w:t>
      </w:r>
      <w:bookmarkEnd w:id="53"/>
      <w:bookmarkEnd w:id="54"/>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55" w:name="_Toc22858"/>
      <w:r>
        <w:rPr>
          <w:rFonts w:hint="eastAsia" w:ascii="方正公文黑体" w:hAnsi="方正公文黑体" w:eastAsia="方正公文黑体" w:cs="方正公文黑体"/>
          <w:sz w:val="28"/>
          <w:szCs w:val="28"/>
          <w:lang w:val="en-US" w:eastAsia="zh-CN"/>
        </w:rPr>
        <w:t>5.1.1将白酒企业采购尽责管理融入企业政策与管理体系</w:t>
      </w:r>
      <w:bookmarkEnd w:id="52"/>
      <w:bookmarkEnd w:id="55"/>
    </w:p>
    <w:p>
      <w:pPr>
        <w:pageBreakBefore w:val="0"/>
        <w:kinsoku/>
        <w:wordWrap/>
        <w:overflowPunct/>
        <w:topLinePunct w:val="0"/>
        <w:autoSpaceDE/>
        <w:autoSpaceDN/>
        <w:bidi w:val="0"/>
        <w:adjustRightInd/>
        <w:snapToGrid/>
        <w:spacing w:line="420" w:lineRule="exact"/>
        <w:ind w:firstLine="435"/>
        <w:textAlignment w:val="auto"/>
        <w:rPr>
          <w:rFonts w:hint="default"/>
          <w:sz w:val="24"/>
          <w:szCs w:val="24"/>
          <w:lang w:val="en-US" w:eastAsia="zh-CN"/>
        </w:rPr>
      </w:pPr>
      <w:r>
        <w:rPr>
          <w:rFonts w:hint="eastAsia"/>
          <w:sz w:val="24"/>
          <w:szCs w:val="24"/>
          <w:lang w:val="en-US" w:eastAsia="zh-CN"/>
        </w:rPr>
        <w:t>制定、采纳和沟通有关负责任商业行为议题的各项政策，其中阐述企业对《白酒供应链尽责指南》中所含原则与标准的承诺，及其实施与自身运营、供应链和其他业务关系相关的尽责管理的计划。</w:t>
      </w:r>
    </w:p>
    <w:p>
      <w:pPr>
        <w:pageBreakBefore w:val="0"/>
        <w:kinsoku/>
        <w:wordWrap/>
        <w:overflowPunct/>
        <w:topLinePunct w:val="0"/>
        <w:autoSpaceDE/>
        <w:autoSpaceDN/>
        <w:bidi w:val="0"/>
        <w:adjustRightInd/>
        <w:snapToGrid/>
        <w:spacing w:line="420" w:lineRule="exact"/>
        <w:ind w:firstLine="435"/>
        <w:textAlignment w:val="auto"/>
        <w:rPr>
          <w:rFonts w:hint="eastAsia"/>
          <w:sz w:val="24"/>
          <w:szCs w:val="24"/>
          <w:lang w:val="en-US" w:eastAsia="zh-CN"/>
        </w:rPr>
      </w:pPr>
      <w:r>
        <w:rPr>
          <w:rFonts w:hint="eastAsia"/>
          <w:sz w:val="24"/>
          <w:szCs w:val="24"/>
          <w:lang w:val="en-US" w:eastAsia="zh-CN"/>
        </w:rPr>
        <w:t>企业应制定负责任采购管理政策，并在其中阐明企业在自身运营和供应链中实施的承诺，及与自身运营、供应链和其他业务关系相关的尽责管理计划。白酒供应链中负责任采购涉及采购粮食、水、包装材料以及服务等多个环节。为确保白酒品质和生产效率，企业应对白酒供应链中采购进行严谨的管理与控制。通过严加管控整个供应链，企业可以提高白酒原材料供应的质量和效率，为消费者提供更优质的产品和服务。</w:t>
      </w:r>
    </w:p>
    <w:p>
      <w:pPr>
        <w:keepNext w:val="0"/>
        <w:keepLines w:val="0"/>
        <w:pageBreakBefore w:val="0"/>
        <w:widowControl w:val="0"/>
        <w:kinsoku/>
        <w:wordWrap/>
        <w:overflowPunct/>
        <w:topLinePunct w:val="0"/>
        <w:autoSpaceDE/>
        <w:autoSpaceDN/>
        <w:bidi w:val="0"/>
        <w:adjustRightInd/>
        <w:snapToGrid/>
        <w:spacing w:line="440" w:lineRule="exact"/>
        <w:ind w:left="0" w:right="0" w:firstLine="460" w:firstLineChars="200"/>
        <w:jc w:val="both"/>
        <w:textAlignment w:val="auto"/>
        <w:rPr>
          <w:rFonts w:hint="eastAsia" w:asciiTheme="minorEastAsia" w:hAnsiTheme="minorEastAsia" w:eastAsiaTheme="minorEastAsia" w:cstheme="minorEastAsia"/>
          <w:color w:val="FF0000"/>
          <w:spacing w:val="-5"/>
          <w:sz w:val="24"/>
          <w:szCs w:val="24"/>
          <w:lang w:val="en-US" w:eastAsia="zh-CN"/>
          <w14:textOutline w14:w="4358" w14:cap="sq" w14:cmpd="sng">
            <w14:solidFill>
              <w14:srgbClr w14:val="000000"/>
            </w14:solidFill>
            <w14:prstDash w14:val="solid"/>
            <w14:bevel/>
          </w14:textOutline>
        </w:rPr>
      </w:pPr>
      <w:r>
        <w:rPr>
          <w:rFonts w:hint="eastAsia" w:asciiTheme="minorEastAsia" w:hAnsiTheme="minorEastAsia" w:eastAsiaTheme="minorEastAsia" w:cstheme="minorEastAsia"/>
          <w:color w:val="FF0000"/>
          <w:spacing w:val="-5"/>
          <w:sz w:val="24"/>
          <w:szCs w:val="24"/>
          <w:lang w:val="en-US" w:eastAsia="zh-CN"/>
          <w14:textOutline w14:w="4358" w14:cap="sq" w14:cmpd="sng">
            <w14:solidFill>
              <w14:srgbClr w14:val="000000"/>
            </w14:solidFill>
            <w14:prstDash w14:val="solid"/>
            <w14:bevel/>
          </w14:textOutline>
        </w:rPr>
        <w:t>实用行动</w:t>
      </w:r>
    </w:p>
    <w:p>
      <w:pPr>
        <w:pageBreakBefore w:val="0"/>
        <w:numPr>
          <w:ilvl w:val="0"/>
          <w:numId w:val="0"/>
        </w:numPr>
        <w:kinsoku/>
        <w:wordWrap/>
        <w:overflowPunct/>
        <w:topLinePunct w:val="0"/>
        <w:autoSpaceDE/>
        <w:autoSpaceDN/>
        <w:bidi w:val="0"/>
        <w:adjustRightInd/>
        <w:snapToGrid/>
        <w:spacing w:line="420" w:lineRule="exact"/>
        <w:ind w:firstLine="480" w:firstLineChars="200"/>
        <w:textAlignment w:val="auto"/>
        <w:rPr>
          <w:rFonts w:hint="eastAsia"/>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sz w:val="24"/>
          <w:szCs w:val="24"/>
          <w:lang w:val="en-US" w:eastAsia="zh-CN"/>
        </w:rPr>
        <w:t>制定负责任采购政策来应对企业面临的重要风险，根据风险评估的结果，从而为企业消除这些风险提供指导。</w:t>
      </w:r>
    </w:p>
    <w:p>
      <w:pPr>
        <w:pageBreakBefore w:val="0"/>
        <w:numPr>
          <w:ilvl w:val="0"/>
          <w:numId w:val="0"/>
        </w:numPr>
        <w:kinsoku/>
        <w:wordWrap/>
        <w:overflowPunct/>
        <w:topLinePunct w:val="0"/>
        <w:autoSpaceDE/>
        <w:autoSpaceDN/>
        <w:bidi w:val="0"/>
        <w:adjustRightInd/>
        <w:snapToGrid/>
        <w:spacing w:line="420" w:lineRule="exact"/>
        <w:ind w:firstLine="480" w:firstLineChars="200"/>
        <w:textAlignment w:val="auto"/>
        <w:rPr>
          <w:rFonts w:hint="default"/>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sz w:val="24"/>
          <w:szCs w:val="24"/>
          <w:lang w:val="en-US" w:eastAsia="zh-CN"/>
        </w:rPr>
        <w:t>在企业网站、经营场所、企业公众号等公布企业负责任采购商业行为的政策。</w:t>
      </w:r>
    </w:p>
    <w:p>
      <w:pPr>
        <w:pageBreakBefore w:val="0"/>
        <w:numPr>
          <w:ilvl w:val="0"/>
          <w:numId w:val="0"/>
        </w:numPr>
        <w:kinsoku/>
        <w:wordWrap/>
        <w:overflowPunct/>
        <w:topLinePunct w:val="0"/>
        <w:autoSpaceDE/>
        <w:autoSpaceDN/>
        <w:bidi w:val="0"/>
        <w:adjustRightInd/>
        <w:snapToGrid/>
        <w:spacing w:line="420" w:lineRule="exact"/>
        <w:ind w:firstLine="480" w:firstLineChars="200"/>
        <w:textAlignment w:val="auto"/>
        <w:rPr>
          <w:rFonts w:hint="default"/>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sz w:val="24"/>
          <w:szCs w:val="24"/>
          <w:lang w:val="en-US" w:eastAsia="zh-CN"/>
        </w:rPr>
        <w:t>给供应商宣讲政策，通过拜访、公告、纳入培训等不同方式告知供应商。</w:t>
      </w:r>
    </w:p>
    <w:p>
      <w:pPr>
        <w:pageBreakBefore w:val="0"/>
        <w:numPr>
          <w:ilvl w:val="0"/>
          <w:numId w:val="0"/>
        </w:numPr>
        <w:kinsoku/>
        <w:wordWrap/>
        <w:overflowPunct/>
        <w:topLinePunct w:val="0"/>
        <w:autoSpaceDE/>
        <w:autoSpaceDN/>
        <w:bidi w:val="0"/>
        <w:adjustRightInd/>
        <w:snapToGrid/>
        <w:spacing w:line="420" w:lineRule="exact"/>
        <w:ind w:firstLine="480" w:firstLineChars="200"/>
        <w:textAlignment w:val="auto"/>
        <w:rPr>
          <w:rFonts w:hint="default"/>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sz w:val="24"/>
          <w:szCs w:val="24"/>
          <w:lang w:val="en-US" w:eastAsia="zh-CN"/>
        </w:rPr>
        <w:t>随着企业运营、外部环境与其他业务关系中出现演变，更新企业政策。</w:t>
      </w:r>
    </w:p>
    <w:p>
      <w:pPr>
        <w:pageBreakBefore w:val="0"/>
        <w:kinsoku/>
        <w:wordWrap/>
        <w:overflowPunct/>
        <w:topLinePunct w:val="0"/>
        <w:autoSpaceDE/>
        <w:autoSpaceDN/>
        <w:bidi w:val="0"/>
        <w:adjustRightInd/>
        <w:snapToGrid/>
        <w:spacing w:line="420" w:lineRule="exact"/>
        <w:ind w:firstLine="435"/>
        <w:textAlignment w:val="auto"/>
        <w:rPr>
          <w:rFonts w:hint="default"/>
          <w:sz w:val="24"/>
          <w:szCs w:val="24"/>
          <w:lang w:val="en-US" w:eastAsia="zh-CN"/>
        </w:rPr>
      </w:pPr>
      <w:r>
        <w:rPr>
          <w:rFonts w:hint="eastAsia"/>
          <w:sz w:val="24"/>
          <w:szCs w:val="24"/>
          <w:lang w:val="en-US" w:eastAsia="zh-CN"/>
        </w:rPr>
        <w:t>将负责任商业行为</w:t>
      </w:r>
      <w:r>
        <w:rPr>
          <w:rFonts w:hint="default"/>
          <w:sz w:val="24"/>
          <w:szCs w:val="24"/>
          <w:lang w:val="en-US" w:eastAsia="zh-CN"/>
        </w:rPr>
        <w:t>融入到</w:t>
      </w:r>
      <w:r>
        <w:rPr>
          <w:rFonts w:hint="eastAsia"/>
          <w:sz w:val="24"/>
          <w:szCs w:val="24"/>
          <w:lang w:val="en-US" w:eastAsia="zh-CN"/>
        </w:rPr>
        <w:t>供应商</w:t>
      </w:r>
      <w:r>
        <w:rPr>
          <w:rFonts w:hint="default"/>
          <w:sz w:val="24"/>
          <w:szCs w:val="24"/>
          <w:lang w:val="en-US" w:eastAsia="zh-CN"/>
        </w:rPr>
        <w:t>管理体系是一个涉及多方面的综合过程，主要包括以下几个步骤：</w:t>
      </w:r>
      <w:r>
        <w:rPr>
          <w:rFonts w:hint="eastAsia"/>
          <w:sz w:val="24"/>
          <w:szCs w:val="24"/>
          <w:lang w:val="en-US" w:eastAsia="zh-CN"/>
        </w:rPr>
        <w:t>（</w:t>
      </w:r>
      <w:r>
        <w:rPr>
          <w:rFonts w:hint="default"/>
          <w:sz w:val="24"/>
          <w:szCs w:val="24"/>
          <w:lang w:val="en-US" w:eastAsia="zh-CN"/>
        </w:rPr>
        <w:t>1</w:t>
      </w:r>
      <w:r>
        <w:rPr>
          <w:rFonts w:hint="eastAsia"/>
          <w:sz w:val="24"/>
          <w:szCs w:val="24"/>
          <w:lang w:val="en-US" w:eastAsia="zh-CN"/>
        </w:rPr>
        <w:t>）</w:t>
      </w:r>
      <w:r>
        <w:rPr>
          <w:rFonts w:hint="default"/>
          <w:sz w:val="24"/>
          <w:szCs w:val="24"/>
          <w:lang w:val="en-US" w:eastAsia="zh-CN"/>
        </w:rPr>
        <w:t>制定明确的组织结构和职能划分：</w:t>
      </w:r>
      <w:r>
        <w:rPr>
          <w:rFonts w:hint="eastAsia"/>
          <w:sz w:val="24"/>
          <w:szCs w:val="24"/>
          <w:lang w:val="en-US" w:eastAsia="zh-CN"/>
        </w:rPr>
        <w:t>（2）</w:t>
      </w:r>
      <w:r>
        <w:rPr>
          <w:rFonts w:hint="default"/>
          <w:sz w:val="24"/>
          <w:szCs w:val="24"/>
          <w:lang w:val="en-US" w:eastAsia="zh-CN"/>
        </w:rPr>
        <w:t>确立管理体系框架：</w:t>
      </w:r>
      <w:r>
        <w:rPr>
          <w:rFonts w:hint="eastAsia"/>
          <w:sz w:val="24"/>
          <w:szCs w:val="24"/>
          <w:lang w:val="en-US" w:eastAsia="zh-CN"/>
        </w:rPr>
        <w:t>（</w:t>
      </w:r>
      <w:r>
        <w:rPr>
          <w:rFonts w:hint="default"/>
          <w:sz w:val="24"/>
          <w:szCs w:val="24"/>
          <w:lang w:val="en-US" w:eastAsia="zh-CN"/>
        </w:rPr>
        <w:t>3</w:t>
      </w:r>
      <w:r>
        <w:rPr>
          <w:rFonts w:hint="eastAsia"/>
          <w:sz w:val="24"/>
          <w:szCs w:val="24"/>
          <w:lang w:val="en-US" w:eastAsia="zh-CN"/>
        </w:rPr>
        <w:t>）</w:t>
      </w:r>
      <w:r>
        <w:rPr>
          <w:rFonts w:hint="default"/>
          <w:sz w:val="24"/>
          <w:szCs w:val="24"/>
          <w:lang w:val="en-US" w:eastAsia="zh-CN"/>
        </w:rPr>
        <w:t xml:space="preserve"> 领导层的坚定支持：</w:t>
      </w:r>
      <w:r>
        <w:rPr>
          <w:rFonts w:hint="eastAsia"/>
          <w:sz w:val="24"/>
          <w:szCs w:val="24"/>
          <w:lang w:val="en-US" w:eastAsia="zh-CN"/>
        </w:rPr>
        <w:t>（</w:t>
      </w:r>
      <w:r>
        <w:rPr>
          <w:rFonts w:hint="default"/>
          <w:sz w:val="24"/>
          <w:szCs w:val="24"/>
          <w:lang w:val="en-US" w:eastAsia="zh-CN"/>
        </w:rPr>
        <w:t>4</w:t>
      </w:r>
      <w:r>
        <w:rPr>
          <w:rFonts w:hint="eastAsia"/>
          <w:sz w:val="24"/>
          <w:szCs w:val="24"/>
          <w:lang w:val="en-US" w:eastAsia="zh-CN"/>
        </w:rPr>
        <w:t>）</w:t>
      </w:r>
      <w:r>
        <w:rPr>
          <w:rFonts w:hint="default"/>
          <w:sz w:val="24"/>
          <w:szCs w:val="24"/>
          <w:lang w:val="en-US" w:eastAsia="zh-CN"/>
        </w:rPr>
        <w:t>全员质量管理培训：</w:t>
      </w:r>
      <w:r>
        <w:rPr>
          <w:rFonts w:hint="eastAsia"/>
          <w:sz w:val="24"/>
          <w:szCs w:val="24"/>
          <w:lang w:val="en-US" w:eastAsia="zh-CN"/>
        </w:rPr>
        <w:t>（</w:t>
      </w:r>
      <w:r>
        <w:rPr>
          <w:rFonts w:hint="default"/>
          <w:sz w:val="24"/>
          <w:szCs w:val="24"/>
          <w:lang w:val="en-US" w:eastAsia="zh-CN"/>
        </w:rPr>
        <w:t>5</w:t>
      </w:r>
      <w:r>
        <w:rPr>
          <w:rFonts w:hint="eastAsia"/>
          <w:sz w:val="24"/>
          <w:szCs w:val="24"/>
          <w:lang w:val="en-US" w:eastAsia="zh-CN"/>
        </w:rPr>
        <w:t>）</w:t>
      </w:r>
      <w:r>
        <w:rPr>
          <w:rFonts w:hint="default"/>
          <w:sz w:val="24"/>
          <w:szCs w:val="24"/>
          <w:lang w:val="en-US" w:eastAsia="zh-CN"/>
        </w:rPr>
        <w:t>信息化技术的应用：</w:t>
      </w:r>
      <w:r>
        <w:rPr>
          <w:rFonts w:hint="eastAsia"/>
          <w:sz w:val="24"/>
          <w:szCs w:val="24"/>
          <w:lang w:val="en-US" w:eastAsia="zh-CN"/>
        </w:rPr>
        <w:t>（</w:t>
      </w:r>
      <w:r>
        <w:rPr>
          <w:rFonts w:hint="default"/>
          <w:sz w:val="24"/>
          <w:szCs w:val="24"/>
          <w:lang w:val="en-US" w:eastAsia="zh-CN"/>
        </w:rPr>
        <w:t>6</w:t>
      </w:r>
      <w:r>
        <w:rPr>
          <w:rFonts w:hint="eastAsia"/>
          <w:sz w:val="24"/>
          <w:szCs w:val="24"/>
          <w:lang w:val="en-US" w:eastAsia="zh-CN"/>
        </w:rPr>
        <w:t>）</w:t>
      </w:r>
      <w:r>
        <w:rPr>
          <w:rFonts w:hint="default"/>
          <w:sz w:val="24"/>
          <w:szCs w:val="24"/>
          <w:lang w:val="en-US" w:eastAsia="zh-CN"/>
        </w:rPr>
        <w:t>持续监督和改进：</w:t>
      </w:r>
      <w:r>
        <w:rPr>
          <w:rFonts w:hint="eastAsia"/>
          <w:sz w:val="24"/>
          <w:szCs w:val="24"/>
          <w:lang w:val="en-US" w:eastAsia="zh-CN"/>
        </w:rPr>
        <w:t>（</w:t>
      </w:r>
      <w:r>
        <w:rPr>
          <w:rFonts w:hint="default"/>
          <w:sz w:val="24"/>
          <w:szCs w:val="24"/>
          <w:lang w:val="en-US" w:eastAsia="zh-CN"/>
        </w:rPr>
        <w:t>7</w:t>
      </w:r>
      <w:r>
        <w:rPr>
          <w:rFonts w:hint="eastAsia"/>
          <w:sz w:val="24"/>
          <w:szCs w:val="24"/>
          <w:lang w:val="en-US" w:eastAsia="zh-CN"/>
        </w:rPr>
        <w:t>）</w:t>
      </w:r>
      <w:r>
        <w:rPr>
          <w:rFonts w:hint="default"/>
          <w:sz w:val="24"/>
          <w:szCs w:val="24"/>
          <w:lang w:val="en-US" w:eastAsia="zh-CN"/>
        </w:rPr>
        <w:t>整合和优化业务流程：</w:t>
      </w:r>
      <w:r>
        <w:rPr>
          <w:rFonts w:hint="eastAsia"/>
          <w:sz w:val="24"/>
          <w:szCs w:val="24"/>
          <w:lang w:val="en-US" w:eastAsia="zh-CN"/>
        </w:rPr>
        <w:t>（</w:t>
      </w:r>
      <w:r>
        <w:rPr>
          <w:rFonts w:hint="default"/>
          <w:sz w:val="24"/>
          <w:szCs w:val="24"/>
          <w:lang w:val="en-US" w:eastAsia="zh-CN"/>
        </w:rPr>
        <w:t>8</w:t>
      </w:r>
      <w:r>
        <w:rPr>
          <w:rFonts w:hint="eastAsia"/>
          <w:sz w:val="24"/>
          <w:szCs w:val="24"/>
          <w:lang w:val="en-US" w:eastAsia="zh-CN"/>
        </w:rPr>
        <w:t>）</w:t>
      </w:r>
      <w:r>
        <w:rPr>
          <w:rFonts w:hint="default"/>
          <w:sz w:val="24"/>
          <w:szCs w:val="24"/>
          <w:lang w:val="en-US" w:eastAsia="zh-CN"/>
        </w:rPr>
        <w:t>建立绩效考核机制：</w:t>
      </w:r>
    </w:p>
    <w:p>
      <w:pPr>
        <w:pageBreakBefore w:val="0"/>
        <w:kinsoku/>
        <w:wordWrap/>
        <w:overflowPunct/>
        <w:topLinePunct w:val="0"/>
        <w:autoSpaceDE/>
        <w:autoSpaceDN/>
        <w:bidi w:val="0"/>
        <w:adjustRightInd/>
        <w:snapToGrid/>
        <w:spacing w:line="420" w:lineRule="exact"/>
        <w:ind w:firstLine="435"/>
        <w:textAlignment w:val="auto"/>
        <w:rPr>
          <w:rFonts w:hint="default"/>
          <w:sz w:val="24"/>
          <w:szCs w:val="24"/>
          <w:lang w:val="en-US" w:eastAsia="zh-CN"/>
        </w:rPr>
      </w:pPr>
      <w:r>
        <w:rPr>
          <w:rFonts w:hint="eastAsia"/>
          <w:sz w:val="24"/>
          <w:szCs w:val="24"/>
          <w:lang w:val="en-US" w:eastAsia="zh-CN"/>
        </w:rPr>
        <w:t>将负责任商业行为</w:t>
      </w:r>
      <w:r>
        <w:rPr>
          <w:rFonts w:hint="default"/>
          <w:sz w:val="24"/>
          <w:szCs w:val="24"/>
          <w:lang w:val="en-US" w:eastAsia="zh-CN"/>
        </w:rPr>
        <w:t>融入到</w:t>
      </w:r>
      <w:r>
        <w:rPr>
          <w:rFonts w:hint="eastAsia"/>
          <w:sz w:val="24"/>
          <w:szCs w:val="24"/>
          <w:lang w:val="en-US" w:eastAsia="zh-CN"/>
        </w:rPr>
        <w:t>供应商管理体系</w:t>
      </w:r>
      <w:r>
        <w:rPr>
          <w:rFonts w:hint="default"/>
          <w:sz w:val="24"/>
          <w:szCs w:val="24"/>
          <w:lang w:val="en-US" w:eastAsia="zh-CN"/>
        </w:rPr>
        <w:t>不是一次性的活动，而是一个动态循环、持续改进的过程。企业需要不断地根据内外部环境的变化，调整和完善管理体系，确保其始终处于最佳状态，以支持企业的可持续发展。</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56" w:name="_Toc6789"/>
      <w:bookmarkStart w:id="57" w:name="_Toc28535"/>
      <w:r>
        <w:rPr>
          <w:rFonts w:hint="eastAsia" w:ascii="方正公文黑体" w:hAnsi="方正公文黑体" w:eastAsia="方正公文黑体" w:cs="方正公文黑体"/>
          <w:sz w:val="28"/>
          <w:szCs w:val="28"/>
          <w:lang w:val="en-US" w:eastAsia="zh-CN"/>
        </w:rPr>
        <w:t>5.1.2</w:t>
      </w:r>
      <w:r>
        <w:rPr>
          <w:rFonts w:hint="eastAsia" w:ascii="方正公文黑体" w:hAnsi="方正公文黑体" w:eastAsia="方正公文黑体" w:cs="方正公文黑体"/>
          <w:sz w:val="28"/>
          <w:szCs w:val="28"/>
        </w:rPr>
        <w:t>识别</w:t>
      </w:r>
      <w:r>
        <w:rPr>
          <w:rFonts w:hint="eastAsia" w:ascii="方正公文黑体" w:hAnsi="方正公文黑体" w:eastAsia="方正公文黑体" w:cs="方正公文黑体"/>
          <w:sz w:val="28"/>
          <w:szCs w:val="28"/>
          <w:lang w:eastAsia="zh-CN"/>
        </w:rPr>
        <w:t>白酒</w:t>
      </w:r>
      <w:r>
        <w:rPr>
          <w:rFonts w:hint="eastAsia" w:ascii="方正公文黑体" w:hAnsi="方正公文黑体" w:eastAsia="方正公文黑体" w:cs="方正公文黑体"/>
          <w:sz w:val="28"/>
          <w:szCs w:val="28"/>
          <w:lang w:val="en-US" w:eastAsia="zh-CN"/>
        </w:rPr>
        <w:t>企业采购</w:t>
      </w:r>
      <w:r>
        <w:rPr>
          <w:rFonts w:hint="eastAsia" w:ascii="方正公文黑体" w:hAnsi="方正公文黑体" w:eastAsia="方正公文黑体" w:cs="方正公文黑体"/>
          <w:sz w:val="28"/>
          <w:szCs w:val="28"/>
          <w:lang w:eastAsia="zh-CN"/>
        </w:rPr>
        <w:t>体系</w:t>
      </w:r>
      <w:bookmarkEnd w:id="56"/>
      <w:r>
        <w:rPr>
          <w:rFonts w:hint="eastAsia" w:ascii="方正公文黑体" w:hAnsi="方正公文黑体" w:eastAsia="方正公文黑体" w:cs="方正公文黑体"/>
          <w:sz w:val="28"/>
          <w:szCs w:val="28"/>
          <w:lang w:eastAsia="zh-CN"/>
        </w:rPr>
        <w:t>风险</w:t>
      </w:r>
      <w:bookmarkEnd w:id="57"/>
    </w:p>
    <w:p>
      <w:pPr>
        <w:pageBreakBefore w:val="0"/>
        <w:wordWrap/>
        <w:overflowPunct/>
        <w:topLinePunct w:val="0"/>
        <w:bidi w:val="0"/>
        <w:spacing w:before="182" w:line="400" w:lineRule="exact"/>
        <w:ind w:left="133" w:right="47" w:firstLine="480"/>
        <w:jc w:val="both"/>
        <w:rPr>
          <w:rFonts w:hint="eastAsia" w:asciiTheme="minorEastAsia" w:hAnsiTheme="minorEastAsia" w:eastAsiaTheme="minorEastAsia" w:cstheme="minorEastAsia"/>
          <w:b w:val="0"/>
          <w:bCs w:val="0"/>
          <w:color w:val="000000" w:themeColor="text1"/>
          <w:kern w:val="0"/>
          <w:sz w:val="24"/>
          <w:szCs w:val="24"/>
          <w:lang w:val="en-US" w:eastAsia="en-US"/>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4"/>
          <w:szCs w:val="24"/>
          <w:lang w:val="en-US" w:eastAsia="en-US"/>
          <w14:textFill>
            <w14:solidFill>
              <w14:schemeClr w14:val="tx1"/>
            </w14:solidFill>
          </w14:textFill>
        </w:rPr>
        <w:t>在白酒</w:t>
      </w: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企业采购</w:t>
      </w:r>
      <w:r>
        <w:rPr>
          <w:rFonts w:hint="eastAsia" w:asciiTheme="minorEastAsia" w:hAnsiTheme="minorEastAsia" w:eastAsiaTheme="minorEastAsia" w:cstheme="minorEastAsia"/>
          <w:b w:val="0"/>
          <w:bCs w:val="0"/>
          <w:color w:val="000000" w:themeColor="text1"/>
          <w:kern w:val="0"/>
          <w:sz w:val="24"/>
          <w:szCs w:val="24"/>
          <w:lang w:val="en-US" w:eastAsia="en-US"/>
          <w14:textFill>
            <w14:solidFill>
              <w14:schemeClr w14:val="tx1"/>
            </w14:solidFill>
          </w14:textFill>
        </w:rPr>
        <w:t>中，识别评估</w:t>
      </w: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重大</w:t>
      </w:r>
      <w:r>
        <w:rPr>
          <w:rFonts w:hint="eastAsia" w:asciiTheme="minorEastAsia" w:hAnsiTheme="minorEastAsia" w:eastAsiaTheme="minorEastAsia" w:cstheme="minorEastAsia"/>
          <w:b w:val="0"/>
          <w:bCs w:val="0"/>
          <w:color w:val="000000" w:themeColor="text1"/>
          <w:kern w:val="0"/>
          <w:sz w:val="24"/>
          <w:szCs w:val="24"/>
          <w:lang w:val="en-US" w:eastAsia="en-US"/>
          <w14:textFill>
            <w14:solidFill>
              <w14:schemeClr w14:val="tx1"/>
            </w14:solidFill>
          </w14:textFill>
        </w:rPr>
        <w:t>风险是非常重要的。通过对风险的识别和评估，可以采取相应的措施来降低或者规避风险，从而保证白酒</w:t>
      </w: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采购体系</w:t>
      </w:r>
      <w:r>
        <w:rPr>
          <w:rFonts w:hint="eastAsia" w:asciiTheme="minorEastAsia" w:hAnsiTheme="minorEastAsia" w:eastAsiaTheme="minorEastAsia" w:cstheme="minorEastAsia"/>
          <w:b w:val="0"/>
          <w:bCs w:val="0"/>
          <w:color w:val="000000" w:themeColor="text1"/>
          <w:kern w:val="0"/>
          <w:sz w:val="24"/>
          <w:szCs w:val="24"/>
          <w:lang w:val="en-US" w:eastAsia="en-US"/>
          <w14:textFill>
            <w14:solidFill>
              <w14:schemeClr w14:val="tx1"/>
            </w14:solidFill>
          </w14:textFill>
        </w:rPr>
        <w:t>的稳定性和质量。例如，在原料采购环节，可以通过对供应商的评估和选择来降低交货不及时和质量不稳定的风险；</w:t>
      </w: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在供应商的评估和选择时，要注意合规和廉洁的风险；</w:t>
      </w:r>
      <w:r>
        <w:rPr>
          <w:rFonts w:hint="eastAsia" w:asciiTheme="minorEastAsia" w:hAnsiTheme="minorEastAsia" w:eastAsiaTheme="minorEastAsia" w:cstheme="minorEastAsia"/>
          <w:b w:val="0"/>
          <w:bCs w:val="0"/>
          <w:color w:val="000000" w:themeColor="text1"/>
          <w:kern w:val="0"/>
          <w:sz w:val="24"/>
          <w:szCs w:val="24"/>
          <w:lang w:val="en-US" w:eastAsia="en-US"/>
          <w14:textFill>
            <w14:solidFill>
              <w14:schemeClr w14:val="tx1"/>
            </w14:solidFill>
          </w14:textFill>
        </w:rPr>
        <w:t>在</w:t>
      </w: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高梁和小麦</w:t>
      </w:r>
      <w:r>
        <w:rPr>
          <w:rFonts w:hint="eastAsia" w:asciiTheme="minorEastAsia" w:hAnsiTheme="minorEastAsia" w:eastAsiaTheme="minorEastAsia" w:cstheme="minorEastAsia"/>
          <w:b w:val="0"/>
          <w:bCs w:val="0"/>
          <w:color w:val="000000" w:themeColor="text1"/>
          <w:kern w:val="0"/>
          <w:sz w:val="24"/>
          <w:szCs w:val="24"/>
          <w:lang w:val="en-US" w:eastAsia="en-US"/>
          <w14:textFill>
            <w14:solidFill>
              <w14:schemeClr w14:val="tx1"/>
            </w14:solidFill>
          </w14:textFill>
        </w:rPr>
        <w:t>储存和运输环节，可以通过对环境的控制和运输过程的监控来降低产品质量下降和损坏的风险。</w:t>
      </w:r>
    </w:p>
    <w:p>
      <w:pPr>
        <w:pageBreakBefore w:val="0"/>
        <w:wordWrap/>
        <w:overflowPunct/>
        <w:topLinePunct w:val="0"/>
        <w:bidi w:val="0"/>
        <w:spacing w:before="179" w:line="400" w:lineRule="exact"/>
        <w:ind w:firstLine="480" w:firstLineChars="200"/>
        <w:rPr>
          <w:rFonts w:hint="eastAsia" w:ascii="微软雅黑" w:hAnsi="微软雅黑" w:eastAsia="微软雅黑" w:cs="微软雅黑"/>
          <w:snapToGrid w:val="0"/>
          <w:color w:val="000000"/>
          <w:kern w:val="0"/>
          <w:sz w:val="24"/>
          <w:szCs w:val="24"/>
          <w:lang w:val="en-US" w:eastAsia="zh-CN" w:bidi="ar-SA"/>
          <w14:textOutline w14:w="4358" w14:cap="sq" w14:cmpd="sng">
            <w14:solidFill>
              <w14:srgbClr w14:val="000000"/>
            </w14:solidFill>
            <w14:prstDash w14:val="solid"/>
            <w14:bevel/>
          </w14:textOutline>
        </w:rPr>
      </w:pPr>
      <w:r>
        <w:rPr>
          <w:rFonts w:hint="eastAsia" w:ascii="方正仿宋_GB2312" w:hAnsi="方正仿宋_GB2312" w:eastAsia="方正仿宋_GB2312" w:cs="方正仿宋_GB2312"/>
          <w:sz w:val="24"/>
        </w:rPr>
        <mc:AlternateContent>
          <mc:Choice Requires="wps">
            <w:drawing>
              <wp:anchor distT="0" distB="0" distL="114300" distR="114300" simplePos="0" relativeHeight="251662336" behindDoc="0" locked="0" layoutInCell="1" allowOverlap="1">
                <wp:simplePos x="0" y="0"/>
                <wp:positionH relativeFrom="column">
                  <wp:posOffset>333375</wp:posOffset>
                </wp:positionH>
                <wp:positionV relativeFrom="paragraph">
                  <wp:posOffset>212090</wp:posOffset>
                </wp:positionV>
                <wp:extent cx="5262245" cy="0"/>
                <wp:effectExtent l="15875" t="15875" r="0" b="22225"/>
                <wp:wrapNone/>
                <wp:docPr id="4" name="直接连接符 4"/>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6.25pt;margin-top:16.7pt;height:0pt;width:414.35pt;z-index:251662336;mso-width-relative:page;mso-height-relative:page;" filled="f" stroked="t" coordsize="21600,21600" o:gfxdata="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l7MYrUAAAACAEA&#10;AA8AAAAAAAAAAQAgAAAAIgAAAGRycy9kb3ducmV2LnhtbFBLAQIUABQAAAAIAIdO4kA60qsd5QEA&#10;AJsDAAAOAAAAAAAAAAEAIAAAACMBAABkcnMvZTJvRG9jLnhtbFBLBQYAAAAABgAGAFkBAAB6BQAA&#10;AAA=&#10;">
                <v:fill on="f" focussize="0,0"/>
                <v:stroke weight="2.5pt" color="#4874CB [3204]" joinstyle="round" dashstyle="1 1" endcap="round"/>
                <v:imagedata o:title=""/>
                <o:lock v:ext="edit" aspectratio="f"/>
              </v:line>
            </w:pict>
          </mc:Fallback>
        </mc:AlternateContent>
      </w:r>
    </w:p>
    <w:p>
      <w:pPr>
        <w:pageBreakBefore w:val="0"/>
        <w:wordWrap/>
        <w:overflowPunct/>
        <w:topLinePunct w:val="0"/>
        <w:bidi w:val="0"/>
        <w:spacing w:before="179" w:line="400" w:lineRule="exact"/>
        <w:ind w:firstLine="480" w:firstLineChars="200"/>
        <w:rPr>
          <w:rFonts w:hint="eastAsia" w:ascii="方正仿宋_GB2312" w:hAnsi="方正仿宋_GB2312" w:eastAsia="方正仿宋_GB2312" w:cs="方正仿宋_GB2312"/>
          <w:color w:val="FF0000"/>
          <w:spacing w:val="-5"/>
          <w:sz w:val="24"/>
          <w:szCs w:val="24"/>
          <w:lang w:val="en-US" w:eastAsia="zh-CN"/>
          <w14:textOutline w14:w="4358" w14:cap="sq" w14:cmpd="sng">
            <w14:solidFill>
              <w14:srgbClr w14:val="000000"/>
            </w14:solidFill>
            <w14:prstDash w14:val="solid"/>
            <w14:bevel/>
          </w14:textOutline>
        </w:rPr>
      </w:pPr>
      <w:r>
        <w:rPr>
          <w:rFonts w:hint="eastAsia" w:ascii="微软雅黑" w:hAnsi="微软雅黑" w:eastAsia="微软雅黑" w:cs="微软雅黑"/>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spacing w:val="-5"/>
          <w:sz w:val="24"/>
          <w:szCs w:val="24"/>
          <w:lang w:val="en-US" w:eastAsia="zh-CN"/>
          <w14:textOutline w14:w="4358" w14:cap="sq" w14:cmpd="sng">
            <w14:solidFill>
              <w14:srgbClr w14:val="000000"/>
            </w14:solidFill>
            <w14:prstDash w14:val="solid"/>
            <w14:bevel/>
          </w14:textOutline>
        </w:rPr>
        <w:t>重要提示</w:t>
      </w:r>
      <w:r>
        <w:rPr>
          <w:rFonts w:hint="eastAsia" w:ascii="方正仿宋_GB2312" w:hAnsi="方正仿宋_GB2312" w:eastAsia="方正仿宋_GB2312" w:cs="方正仿宋_GB2312"/>
          <w:spacing w:val="-5"/>
          <w:sz w:val="24"/>
          <w:szCs w:val="24"/>
          <w:lang w:val="en-US" w:eastAsia="en-US"/>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spacing w:val="-5"/>
          <w:sz w:val="24"/>
          <w:szCs w:val="24"/>
          <w:lang w:val="en-US" w:eastAsia="zh-CN"/>
          <w14:textOutline w14:w="4358" w14:cap="sq" w14:cmpd="sng">
            <w14:solidFill>
              <w14:srgbClr w14:val="000000"/>
            </w14:solidFill>
            <w14:prstDash w14:val="solid"/>
            <w14:bevel/>
          </w14:textOutline>
        </w:rPr>
        <w:t>供应商选择合规和廉洁风险的把控是</w:t>
      </w:r>
      <w:r>
        <w:rPr>
          <w:rFonts w:hint="eastAsia" w:ascii="方正仿宋_GB2312" w:hAnsi="方正仿宋_GB2312" w:eastAsia="方正仿宋_GB2312" w:cs="方正仿宋_GB2312"/>
          <w:color w:val="FF0000"/>
          <w:spacing w:val="-5"/>
          <w:sz w:val="24"/>
          <w:szCs w:val="24"/>
          <w:lang w:val="en-US" w:eastAsia="zh-CN"/>
          <w14:textOutline w14:w="4358" w14:cap="sq" w14:cmpd="sng">
            <w14:solidFill>
              <w14:srgbClr w14:val="000000"/>
            </w14:solidFill>
            <w14:prstDash w14:val="solid"/>
            <w14:bevel/>
          </w14:textOutline>
        </w:rPr>
        <w:t>白酒供应链采购要考虑的主要风险</w:t>
      </w:r>
    </w:p>
    <w:p>
      <w:pPr>
        <w:pageBreakBefore w:val="0"/>
        <w:widowControl w:val="0"/>
        <w:wordWrap/>
        <w:overflowPunct/>
        <w:topLinePunct w:val="0"/>
        <w:bidi w:val="0"/>
        <w:spacing w:before="118" w:line="400" w:lineRule="exact"/>
        <w:ind w:firstLine="480" w:firstLineChars="200"/>
        <w:jc w:val="both"/>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在我国白酒产业的快速发展背景下，供应链采购中合规和廉洁问题日益凸显，其中所蕴含的风险不容忽视。</w:t>
      </w:r>
    </w:p>
    <w:p>
      <w:pPr>
        <w:pageBreakBefore w:val="0"/>
        <w:widowControl w:val="0"/>
        <w:numPr>
          <w:ilvl w:val="0"/>
          <w:numId w:val="0"/>
        </w:numPr>
        <w:wordWrap/>
        <w:overflowPunct/>
        <w:topLinePunct w:val="0"/>
        <w:bidi w:val="0"/>
        <w:spacing w:before="118" w:line="400" w:lineRule="exact"/>
        <w:ind w:firstLine="480" w:firstLineChars="200"/>
        <w:jc w:val="both"/>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如果企业在采购过程中未按照规定的程序和标准进行操作，例如未进行质量检验、未按规定签订合同等，可能引发合规风险。招标过程中存在明显不合规行为，可能引起投诉或纠纷，如：1）为特定投标人中标提供方便的信息泄露等行为；2）在招标文件中制定不合理的、排他性的条件和条款；3）招标不依法进行，面临行政处罚。甚至涉及法律责任。</w:t>
      </w:r>
    </w:p>
    <w:p>
      <w:pPr>
        <w:pageBreakBefore w:val="0"/>
        <w:widowControl w:val="0"/>
        <w:numPr>
          <w:ilvl w:val="0"/>
          <w:numId w:val="0"/>
        </w:numPr>
        <w:wordWrap/>
        <w:overflowPunct/>
        <w:topLinePunct w:val="0"/>
        <w:bidi w:val="0"/>
        <w:spacing w:before="118" w:line="400" w:lineRule="exact"/>
        <w:ind w:firstLine="480" w:firstLineChars="200"/>
        <w:jc w:val="both"/>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企业可能出现廉洁风险如：1）公司因为管理制度不完善，未对采购申请、采购实施、采购合同签批、采购验收等工作部门岗位职权进行规范，未明确具体管理要求等，可能使得采购监督考核不力，导致违规问题发生。2）公司未明确采购管理各流程或在未按公司采购程序实施采购，可能使得相关岗位以权谋私、造成公司经济损失。3）部分员工思想不端，为谋取私利，利用职权虚报采购计划或虚假报价，使得办公用品、家具、固定资产、低值易耗品、服务等购买需求与公司实际情况不符，造成公司利益损失。4）负责采购事项审核的，不够认真负责，不能及时阻止不合理采购事项；负责采购全流程业务的因人情等原因内定供应商、串通舞弊、违规确定中标单位；负责采购验收的，代表公司作出不适当让步使验收通过。5）采购管理过程中，采购管理人员收受外部好处，在编制采购计划等程序上倾向某一外部单位，如：A.收受贿赂，在采购招标文件编审过程中，量体裁衣，对特定供应商提高或降低资格条件；B.供应商以宴请等名义“公关”采购人，导致采购人不按程序倾向特定单位采购，采购物品价高质低。以上岗位行为将导致采购事项不合理、采购质量不能满足要求。</w:t>
      </w:r>
    </w:p>
    <w:p>
      <w:pPr>
        <w:pageBreakBefore w:val="0"/>
        <w:wordWrap/>
        <w:overflowPunct/>
        <w:topLinePunct w:val="0"/>
        <w:bidi w:val="0"/>
        <w:spacing w:before="182" w:line="400" w:lineRule="exact"/>
        <w:ind w:left="133" w:right="47" w:firstLine="480"/>
        <w:jc w:val="both"/>
        <w:rPr>
          <w:rFonts w:hint="eastAsia" w:ascii="方正仿宋_GB2312" w:hAnsi="方正仿宋_GB2312" w:eastAsia="方正仿宋_GB2312" w:cs="方正仿宋_GB2312"/>
          <w:b w:val="0"/>
          <w:bCs w:val="0"/>
          <w:i w:val="0"/>
          <w:iCs w:val="0"/>
          <w:color w:val="000000" w:themeColor="text1"/>
          <w:kern w:val="0"/>
          <w:sz w:val="24"/>
          <w:szCs w:val="24"/>
          <w:highlight w:val="none"/>
          <w:lang w:val="en-US" w:eastAsia="zh-CN"/>
          <w14:textFill>
            <w14:solidFill>
              <w14:schemeClr w14:val="tx1"/>
            </w14:solidFill>
          </w14:textFill>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为了降低这些风险，白酒企业需要加强供应商管理、采购过程规范、合规意识培养以及风险管理等方面的措施，确保供应链的稳定和安全，提高企业的竞争力和市场地位。</w:t>
      </w:r>
    </w:p>
    <w:p>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both"/>
        <w:textAlignment w:val="auto"/>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pPr>
      <w:r>
        <w:rPr>
          <w:sz w:val="24"/>
        </w:rPr>
        <mc:AlternateContent>
          <mc:Choice Requires="wps">
            <w:drawing>
              <wp:anchor distT="0" distB="0" distL="114300" distR="114300" simplePos="0" relativeHeight="251663360" behindDoc="0" locked="0" layoutInCell="1" allowOverlap="1">
                <wp:simplePos x="0" y="0"/>
                <wp:positionH relativeFrom="column">
                  <wp:posOffset>432435</wp:posOffset>
                </wp:positionH>
                <wp:positionV relativeFrom="paragraph">
                  <wp:posOffset>74295</wp:posOffset>
                </wp:positionV>
                <wp:extent cx="5262245" cy="0"/>
                <wp:effectExtent l="15875" t="15875" r="0" b="22225"/>
                <wp:wrapNone/>
                <wp:docPr id="5" name="直接连接符 5"/>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4.05pt;margin-top:5.85pt;height:0pt;width:414.35pt;z-index:251663360;mso-width-relative:page;mso-height-relative:page;" filled="f" stroked="t" coordsize="21600,21600" o:gfxdata="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mkqanTAAAACAEAAA8AAAAAAAAAAQAgAAAA&#10;IgAAAGRycy9kb3ducmV2LnhtbFBLAQIUABQAAAAIAIdO4kC9RjyL1wEAAI8DAAAOAAAAAAAAAAEA&#10;IAAAACIBAABkcnMvZTJvRG9jLnhtbFBLBQYAAAAABgAGAFkBAABrBQAAAAA=&#10;">
                <v:fill on="f" focussize="0,0"/>
                <v:stroke weight="2.5pt" color="#4874CB [3204]" joinstyle="round" dashstyle="1 1" endcap="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440" w:lineRule="exact"/>
        <w:ind w:left="0" w:right="0" w:firstLine="468" w:firstLineChars="200"/>
        <w:jc w:val="both"/>
        <w:textAlignment w:val="auto"/>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识别和评估</w:t>
      </w:r>
      <w:r>
        <w:rPr>
          <w:rFonts w:hint="eastAsia" w:asciiTheme="minorEastAsia" w:hAnsiTheme="minorEastAsia" w:cstheme="minorEastAsia"/>
          <w:color w:val="000000" w:themeColor="text1"/>
          <w:spacing w:val="-3"/>
          <w:sz w:val="24"/>
          <w:szCs w:val="24"/>
          <w:lang w:eastAsia="zh-CN"/>
          <w14:textFill>
            <w14:solidFill>
              <w14:schemeClr w14:val="tx1"/>
            </w14:solidFill>
          </w14:textFill>
        </w:rPr>
        <w:t>供应商</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管理中的潜在和实际损害，最主</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要的</w:t>
      </w:r>
      <w:r>
        <w:rPr>
          <w:rFonts w:hint="eastAsia" w:asciiTheme="minorEastAsia" w:hAnsiTheme="minorEastAsia" w:cstheme="minorEastAsia"/>
          <w:color w:val="000000" w:themeColor="text1"/>
          <w:spacing w:val="-4"/>
          <w:sz w:val="24"/>
          <w:szCs w:val="24"/>
          <w:lang w:eastAsia="zh-CN"/>
          <w14:textFill>
            <w14:solidFill>
              <w14:schemeClr w14:val="tx1"/>
            </w14:solidFill>
          </w14:textFill>
        </w:rPr>
        <w:t>考虑</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依据为国内法律法</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规、政策和标准的要求。</w:t>
      </w:r>
      <w:r>
        <w:rPr>
          <w:rFonts w:hint="eastAsia" w:asciiTheme="minorEastAsia" w:hAnsiTheme="minorEastAsia" w:cstheme="minorEastAsia"/>
          <w:color w:val="000000" w:themeColor="text1"/>
          <w:spacing w:val="-3"/>
          <w:sz w:val="24"/>
          <w:szCs w:val="24"/>
          <w:lang w:eastAsia="zh-CN"/>
          <w14:textFill>
            <w14:solidFill>
              <w14:schemeClr w14:val="tx1"/>
            </w14:solidFill>
          </w14:textFill>
        </w:rPr>
        <w:t>供应商</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所涉及的风险领域较多，而不同</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的风险领域</w:t>
      </w: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中又涵盖多项合规要求，企业在识别风险点的同时，还应当依据自身</w:t>
      </w:r>
      <w:r>
        <w:rPr>
          <w:rFonts w:hint="eastAsia" w:asciiTheme="minorEastAsia" w:hAnsiTheme="minorEastAsia" w:eastAsiaTheme="minorEastAsia" w:cstheme="minorEastAsia"/>
          <w:color w:val="000000" w:themeColor="text1"/>
          <w:spacing w:val="-4"/>
          <w:sz w:val="24"/>
          <w:szCs w:val="24"/>
          <w14:textFill>
            <w14:solidFill>
              <w14:schemeClr w14:val="tx1"/>
            </w14:solidFill>
          </w14:textFill>
        </w:rPr>
        <w:t>情况对风险</w:t>
      </w:r>
      <w:r>
        <w:rPr>
          <w:rFonts w:hint="eastAsia" w:asciiTheme="minorEastAsia" w:hAnsiTheme="minorEastAsia" w:eastAsiaTheme="minorEastAsia" w:cstheme="minorEastAsia"/>
          <w:color w:val="000000" w:themeColor="text1"/>
          <w:spacing w:val="-2"/>
          <w:sz w:val="24"/>
          <w:szCs w:val="24"/>
          <w14:textFill>
            <w14:solidFill>
              <w14:schemeClr w14:val="tx1"/>
            </w14:solidFill>
          </w14:textFill>
        </w:rPr>
        <w:t>领域作出优先性排序。</w:t>
      </w:r>
    </w:p>
    <w:p>
      <w:pPr>
        <w:keepNext w:val="0"/>
        <w:keepLines w:val="0"/>
        <w:pageBreakBefore w:val="0"/>
        <w:widowControl w:val="0"/>
        <w:kinsoku/>
        <w:wordWrap/>
        <w:overflowPunct/>
        <w:topLinePunct w:val="0"/>
        <w:autoSpaceDE/>
        <w:autoSpaceDN/>
        <w:bidi w:val="0"/>
        <w:adjustRightInd/>
        <w:snapToGrid/>
        <w:spacing w:line="440" w:lineRule="exact"/>
        <w:ind w:left="0" w:right="0" w:firstLine="468" w:firstLineChars="200"/>
        <w:jc w:val="both"/>
        <w:textAlignment w:val="auto"/>
        <w:rPr>
          <w:rFonts w:hint="eastAsia" w:asciiTheme="minorEastAsia" w:hAnsiTheme="minorEastAsia" w:cstheme="minorEastAsia"/>
          <w:color w:val="000000" w:themeColor="text1"/>
          <w:spacing w:val="-3"/>
          <w:sz w:val="24"/>
          <w:szCs w:val="24"/>
          <w:lang w:eastAsia="zh-CN"/>
          <w14:textFill>
            <w14:solidFill>
              <w14:schemeClr w14:val="tx1"/>
            </w14:solidFill>
          </w14:textFill>
        </w:rPr>
      </w:pPr>
      <w:r>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t>根据</w:t>
      </w:r>
      <w:r>
        <w:rPr>
          <w:rFonts w:hint="eastAsia" w:asciiTheme="minorEastAsia" w:hAnsiTheme="minorEastAsia" w:cstheme="minorEastAsia"/>
          <w:color w:val="000000" w:themeColor="text1"/>
          <w:spacing w:val="-3"/>
          <w:sz w:val="24"/>
          <w:szCs w:val="24"/>
          <w:lang w:eastAsia="zh-CN"/>
          <w14:textFill>
            <w14:solidFill>
              <w14:schemeClr w14:val="tx1"/>
            </w14:solidFill>
          </w14:textFill>
        </w:rPr>
        <w:t>识别的范围，对优先关注的运营、供应商与其他业务关系开展</w:t>
      </w:r>
      <w:r>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t>不同层级的</w:t>
      </w:r>
      <w:r>
        <w:rPr>
          <w:rFonts w:hint="eastAsia" w:asciiTheme="minorEastAsia" w:hAnsiTheme="minorEastAsia" w:cstheme="minorEastAsia"/>
          <w:color w:val="000000" w:themeColor="text1"/>
          <w:spacing w:val="-3"/>
          <w:sz w:val="24"/>
          <w:szCs w:val="24"/>
          <w:lang w:eastAsia="zh-CN"/>
          <w14:textFill>
            <w14:solidFill>
              <w14:schemeClr w14:val="tx1"/>
            </w14:solidFill>
          </w14:textFill>
        </w:rPr>
        <w:t>评估，从而识别</w:t>
      </w:r>
      <w:r>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t>出</w:t>
      </w:r>
      <w:r>
        <w:rPr>
          <w:rFonts w:hint="eastAsia" w:asciiTheme="minorEastAsia" w:hAnsiTheme="minorEastAsia" w:cstheme="minorEastAsia"/>
          <w:color w:val="000000" w:themeColor="text1"/>
          <w:spacing w:val="-3"/>
          <w:sz w:val="24"/>
          <w:szCs w:val="24"/>
          <w:lang w:eastAsia="zh-CN"/>
          <w14:textFill>
            <w14:solidFill>
              <w14:schemeClr w14:val="tx1"/>
            </w14:solidFill>
          </w14:textFill>
        </w:rPr>
        <w:t>实际和潜在的风险。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center"/>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表5-1企业识别和评估采购中的潜在和实际损害的风险示例</w:t>
      </w:r>
    </w:p>
    <w:tbl>
      <w:tblPr>
        <w:tblStyle w:val="8"/>
        <w:tblpPr w:leftFromText="180" w:rightFromText="180" w:vertAnchor="text" w:horzAnchor="page" w:tblpX="1527" w:tblpY="316"/>
        <w:tblOverlap w:val="never"/>
        <w:tblW w:w="4877" w:type="pct"/>
        <w:tblDescription w:val="{&quot;row&quot;:{&quot;emphasizeNum&quot;:1,&quot;emphasizeType&quot;:2,&quot;originStyle&quot;:{&quot;bBoldFont&quot;:false,&quot;bValid&quot;:true,&quot;backgroundColor&quot;:&quot;#ffffff&quot;,&quot;borders&quot;:[{&quot;borderColor&quot;:&quot;#000000&quot;,&quot;borderType&quot;:-4,&quot;lineStyle&quot;:1,&quot;lineWidth&quot;:4},{&quot;borderColor&quot;:&quot;#000000&quot;,&quot;borderType&quot;:-3,&quot;lineStyle&quot;:1,&quot;lineWidth&quot;:4},{&quot;borderColor&quot;:&quot;#000000&quot;,&quot;borderType&quot;:-2,&quot;lineStyle&quot;:0,&quot;lineWidth&quot;:0},{&quot;borderColor&quot;:&quot;#000000&quot;,&quot;borderType&quot;:-1,&quot;lineStyle&quot;:1,&quot;lineWidth&quot;:4}],&quot;fontColor&quot;:&quot;#000000&quot;}}}"/>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autofit"/>
        <w:tblCellMar>
          <w:top w:w="0" w:type="dxa"/>
          <w:left w:w="0" w:type="dxa"/>
          <w:bottom w:w="0" w:type="dxa"/>
          <w:right w:w="0" w:type="dxa"/>
        </w:tblCellMar>
      </w:tblPr>
      <w:tblGrid>
        <w:gridCol w:w="3067"/>
        <w:gridCol w:w="5801"/>
      </w:tblGrid>
      <w:tr>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0" w:type="dxa"/>
            <w:bottom w:w="0" w:type="dxa"/>
            <w:right w:w="0" w:type="dxa"/>
          </w:tblCellMar>
        </w:tblPrEx>
        <w:trPr>
          <w:trHeight w:val="490" w:hRule="atLeast"/>
        </w:trPr>
        <w:tc>
          <w:tcPr>
            <w:tcW w:w="1729" w:type="pc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center"/>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themeColor="text1"/>
                <w:kern w:val="0"/>
                <w:sz w:val="24"/>
                <w:szCs w:val="24"/>
                <w:highlight w:val="none"/>
                <w:lang w:val="en-US" w:eastAsia="zh-CN" w:bidi="ar-SA"/>
                <w14:textFill>
                  <w14:solidFill>
                    <w14:schemeClr w14:val="tx1"/>
                  </w14:solidFill>
                </w14:textFill>
              </w:rPr>
              <w:t>风险领域</w:t>
            </w:r>
          </w:p>
        </w:tc>
        <w:tc>
          <w:tcPr>
            <w:tcW w:w="3270" w:type="pct"/>
            <w:tcBorders>
              <w:tl2br w:val="nil"/>
              <w:tr2bl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center"/>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方正仿宋_GB2312" w:hAnsi="方正仿宋_GB2312" w:eastAsia="方正仿宋_GB2312" w:cs="方正仿宋_GB2312"/>
                <w:b w:val="0"/>
                <w:bCs w:val="0"/>
                <w:i w:val="0"/>
                <w:iCs w:val="0"/>
                <w:color w:val="000000" w:themeColor="text1"/>
                <w:kern w:val="0"/>
                <w:sz w:val="24"/>
                <w:szCs w:val="24"/>
                <w:highlight w:val="none"/>
                <w:lang w:val="en-US" w:eastAsia="zh-CN" w:bidi="ar-SA"/>
                <w14:textFill>
                  <w14:solidFill>
                    <w14:schemeClr w14:val="tx1"/>
                  </w14:solidFill>
                </w14:textFill>
              </w:rPr>
              <w:t>企业风险因素</w:t>
            </w:r>
          </w:p>
        </w:tc>
      </w:tr>
      <w:tr>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0" w:type="dxa"/>
            <w:bottom w:w="0" w:type="dxa"/>
            <w:right w:w="0" w:type="dxa"/>
          </w:tblCellMar>
        </w:tblPrEx>
        <w:trPr>
          <w:trHeight w:val="2747" w:hRule="atLeast"/>
        </w:trPr>
        <w:tc>
          <w:tcPr>
            <w:tcW w:w="1729" w:type="pc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center"/>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种植和土壤风险</w:t>
            </w:r>
          </w:p>
        </w:tc>
        <w:tc>
          <w:tcPr>
            <w:tcW w:w="3270" w:type="pct"/>
            <w:tcBorders>
              <w:tl2br w:val="nil"/>
              <w:tr2bl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植物虫害严重</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植物使用农药</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植物遭受自然灾害</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土壤受农药残留污染</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土壤板结</w:t>
            </w:r>
          </w:p>
        </w:tc>
      </w:tr>
      <w:tr>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0" w:type="dxa"/>
            <w:bottom w:w="0" w:type="dxa"/>
            <w:right w:w="0" w:type="dxa"/>
          </w:tblCellMar>
        </w:tblPrEx>
        <w:trPr>
          <w:trHeight w:val="1073" w:hRule="atLeast"/>
        </w:trPr>
        <w:tc>
          <w:tcPr>
            <w:tcW w:w="1729" w:type="pc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center"/>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采购风险</w:t>
            </w:r>
          </w:p>
        </w:tc>
        <w:tc>
          <w:tcPr>
            <w:tcW w:w="3270" w:type="pct"/>
            <w:tcBorders>
              <w:tl2br w:val="nil"/>
              <w:tr2bl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采购制度管理风险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采购计划与需求管理风险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供应商选择与管理风险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招标管理风险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采购合同管理</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采购谈判及定价风险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采购验收与仓储管理风险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采购结算与付款管理风险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采购档案管理风险</w:t>
            </w:r>
          </w:p>
        </w:tc>
      </w:tr>
      <w:tr>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0" w:type="dxa"/>
            <w:bottom w:w="0" w:type="dxa"/>
            <w:right w:w="0" w:type="dxa"/>
          </w:tblCellMar>
        </w:tblPrEx>
        <w:trPr>
          <w:trHeight w:val="1128" w:hRule="atLeast"/>
        </w:trPr>
        <w:tc>
          <w:tcPr>
            <w:tcW w:w="1729" w:type="pc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center"/>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合规风险</w:t>
            </w:r>
          </w:p>
        </w:tc>
        <w:tc>
          <w:tcPr>
            <w:tcW w:w="3270" w:type="pct"/>
            <w:tcBorders>
              <w:tl2br w:val="nil"/>
              <w:tr2bl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合规管理组织架构风险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合规风险识别风险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合规风险应对风险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违规责任追究风险</w:t>
            </w:r>
          </w:p>
        </w:tc>
      </w:tr>
      <w:tr>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0" w:type="dxa"/>
            <w:bottom w:w="0" w:type="dxa"/>
            <w:right w:w="0" w:type="dxa"/>
          </w:tblCellMar>
        </w:tblPrEx>
        <w:trPr>
          <w:trHeight w:val="90" w:hRule="atLeast"/>
        </w:trPr>
        <w:tc>
          <w:tcPr>
            <w:tcW w:w="1729" w:type="pc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center"/>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原材料管理风险</w:t>
            </w:r>
          </w:p>
        </w:tc>
        <w:tc>
          <w:tcPr>
            <w:tcW w:w="3270" w:type="pct"/>
            <w:tcBorders>
              <w:tl2br w:val="nil"/>
              <w:tr2bl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原材料基地管理风险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原材料采购风险</w:t>
            </w:r>
          </w:p>
        </w:tc>
      </w:tr>
      <w:tr>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0" w:type="dxa"/>
            <w:bottom w:w="0" w:type="dxa"/>
            <w:right w:w="0" w:type="dxa"/>
          </w:tblCellMar>
        </w:tblPrEx>
        <w:trPr>
          <w:trHeight w:val="1415" w:hRule="atLeast"/>
        </w:trPr>
        <w:tc>
          <w:tcPr>
            <w:tcW w:w="1729" w:type="pc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center"/>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廉洁风险</w:t>
            </w:r>
          </w:p>
        </w:tc>
        <w:tc>
          <w:tcPr>
            <w:tcW w:w="3270" w:type="pct"/>
            <w:tcBorders>
              <w:tl2br w:val="nil"/>
              <w:tr2bl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采购管理制度机制廉洁风险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采购管理业务流程廉洁风险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采购岗位职责廉洁风险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采购思想道德廉洁风险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采购外部环境廉洁风险</w:t>
            </w:r>
          </w:p>
        </w:tc>
      </w:tr>
      <w:tr>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0" w:type="dxa"/>
            <w:bottom w:w="0" w:type="dxa"/>
            <w:right w:w="0" w:type="dxa"/>
          </w:tblCellMar>
        </w:tblPrEx>
        <w:trPr>
          <w:trHeight w:val="1415" w:hRule="atLeast"/>
        </w:trPr>
        <w:tc>
          <w:tcPr>
            <w:tcW w:w="1729" w:type="pc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center"/>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仓储物流风险</w:t>
            </w:r>
          </w:p>
        </w:tc>
        <w:tc>
          <w:tcPr>
            <w:tcW w:w="3270" w:type="pct"/>
            <w:tcBorders>
              <w:tl2br w:val="nil"/>
              <w:tr2bl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货物验收风险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存货仓储保管风险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存货盘点风险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存货领用及发出管控风险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装卸及发运风险</w:t>
            </w:r>
          </w:p>
        </w:tc>
      </w:tr>
      <w:tr>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0" w:type="dxa"/>
            <w:bottom w:w="0" w:type="dxa"/>
            <w:right w:w="0" w:type="dxa"/>
          </w:tblCellMar>
        </w:tblPrEx>
        <w:trPr>
          <w:trHeight w:val="1415" w:hRule="atLeast"/>
        </w:trPr>
        <w:tc>
          <w:tcPr>
            <w:tcW w:w="1729" w:type="pc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center"/>
              <w:textAlignment w:val="auto"/>
              <w:rPr>
                <w:rFonts w:hint="default" w:ascii="方正仿宋_GB2312" w:hAnsi="方正仿宋_GB2312" w:eastAsia="方正仿宋_GB2312" w:cs="方正仿宋_GB2312"/>
                <w:b w:val="0"/>
                <w:bCs w:val="0"/>
                <w:color w:val="FF0000"/>
                <w:kern w:val="0"/>
                <w:sz w:val="24"/>
                <w:szCs w:val="24"/>
                <w:lang w:val="en-US" w:eastAsia="zh-CN"/>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数据泄露、闲置风险</w:t>
            </w:r>
          </w:p>
        </w:tc>
        <w:tc>
          <w:tcPr>
            <w:tcW w:w="3270" w:type="pct"/>
            <w:tcBorders>
              <w:tl2br w:val="nil"/>
              <w:tr2bl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1.</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数据泄露风险因素</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不安全的网络环境</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人为操作失误</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权限管理不当</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第三方服务供应商风险</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缺乏数据加密措施</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2.</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数据资产闲置风险因素</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数据收集无明确目标</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缺乏有效的数据管理策略</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技术更新滞后</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员工缺乏数据处理能力</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信息孤岛问题</w:t>
            </w:r>
          </w:p>
        </w:tc>
      </w:tr>
      <w:tr>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0" w:type="dxa"/>
            <w:bottom w:w="0" w:type="dxa"/>
            <w:right w:w="0" w:type="dxa"/>
          </w:tblCellMar>
        </w:tblPrEx>
        <w:trPr>
          <w:trHeight w:val="1415" w:hRule="atLeast"/>
        </w:trPr>
        <w:tc>
          <w:tcPr>
            <w:tcW w:w="1729" w:type="pct"/>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left="0" w:leftChars="0" w:firstLine="0" w:firstLineChars="0"/>
              <w:jc w:val="center"/>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水资源污染风险</w:t>
            </w:r>
          </w:p>
        </w:tc>
        <w:tc>
          <w:tcPr>
            <w:tcW w:w="3270" w:type="pct"/>
            <w:tcBorders>
              <w:tl2br w:val="nil"/>
              <w:tr2bl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●落后</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生产技术和工艺</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废水处理设施的配置和处理能力</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●水资源制度管理缺失</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●员工</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缺乏环保意识</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●企业不遵守</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环保</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法律</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法规</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，相关部门监管不力。</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default" w:ascii="Segoe UI" w:hAnsi="Segoe UI" w:eastAsia="Segoe UI" w:cs="Segoe UI"/>
                <w:i w:val="0"/>
                <w:iCs w:val="0"/>
                <w:caps w:val="0"/>
                <w:color w:val="0D0D0D"/>
                <w:spacing w:val="0"/>
                <w:sz w:val="12"/>
                <w:szCs w:val="12"/>
                <w:shd w:val="clear" w:fill="FFFFFF"/>
                <w:lang w:val="en-US" w:eastAsia="zh-CN"/>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原料和</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不易降解的</w:t>
            </w:r>
            <w:r>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t>辅料</w:t>
            </w:r>
          </w:p>
        </w:tc>
      </w:tr>
    </w:tbl>
    <w:p>
      <w:pPr>
        <w:keepNext w:val="0"/>
        <w:keepLines w:val="0"/>
        <w:pageBreakBefore w:val="0"/>
        <w:widowControl w:val="0"/>
        <w:kinsoku/>
        <w:wordWrap/>
        <w:overflowPunct/>
        <w:topLinePunct w:val="0"/>
        <w:autoSpaceDE/>
        <w:autoSpaceDN/>
        <w:bidi w:val="0"/>
        <w:adjustRightInd/>
        <w:snapToGrid/>
        <w:spacing w:line="440" w:lineRule="exact"/>
        <w:ind w:left="0" w:right="0" w:firstLine="460" w:firstLineChars="200"/>
        <w:jc w:val="both"/>
        <w:textAlignment w:val="auto"/>
        <w:rPr>
          <w:rFonts w:hint="eastAsia" w:asciiTheme="minorEastAsia" w:hAnsiTheme="minorEastAsia" w:eastAsiaTheme="minorEastAsia" w:cstheme="minorEastAsia"/>
          <w:b w:val="0"/>
          <w:bCs w:val="0"/>
          <w:color w:val="FF0000"/>
          <w:kern w:val="0"/>
          <w:sz w:val="24"/>
          <w:szCs w:val="24"/>
          <w:lang w:val="en-US" w:eastAsia="zh-CN"/>
        </w:rPr>
      </w:pPr>
      <w:r>
        <w:rPr>
          <w:rFonts w:hint="eastAsia" w:asciiTheme="minorEastAsia" w:hAnsiTheme="minorEastAsia" w:eastAsiaTheme="minorEastAsia" w:cstheme="minorEastAsia"/>
          <w:color w:val="FF0000"/>
          <w:spacing w:val="-5"/>
          <w:sz w:val="24"/>
          <w:szCs w:val="24"/>
          <w:lang w:val="en-US" w:eastAsia="zh-CN"/>
          <w14:textOutline w14:w="4358" w14:cap="sq" w14:cmpd="sng">
            <w14:solidFill>
              <w14:srgbClr w14:val="000000"/>
            </w14:solidFill>
            <w14:prstDash w14:val="solid"/>
            <w14:bevel/>
          </w14:textOutline>
        </w:rPr>
        <w:t>实用行动</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0" w:rightChars="0" w:firstLine="480" w:firstLineChars="200"/>
        <w:jc w:val="both"/>
        <w:textAlignment w:val="auto"/>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t>对照联合国可持续发展目标，制定白酒行业可持续发展目标。</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0" w:rightChars="0" w:firstLine="480" w:firstLineChars="200"/>
        <w:jc w:val="both"/>
        <w:textAlignment w:val="auto"/>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在风险识别</w:t>
      </w:r>
      <w:r>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t>和评估过程中确定白酒供应链图析，便于进一步评估。</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0" w:rightChars="0" w:firstLine="480" w:firstLineChars="200"/>
        <w:jc w:val="both"/>
        <w:textAlignment w:val="auto"/>
        <w:rPr>
          <w:rFonts w:hint="default" w:asciiTheme="minorEastAsia" w:hAnsi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参考中国法律以及国际倡议和行业指南，对正在评估的风险进行分类、优先顺序。</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0" w:rightChars="0" w:firstLine="480" w:firstLineChars="200"/>
        <w:jc w:val="both"/>
        <w:textAlignment w:val="auto"/>
        <w:rPr>
          <w:rFonts w:hint="default"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识别未按照法律和国家政策框架开展且不能保护企业或者涉及人员的活动。</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0" w:rightChars="0" w:firstLine="480" w:firstLineChars="200"/>
        <w:jc w:val="both"/>
        <w:textAlignment w:val="auto"/>
        <w:rPr>
          <w:rFonts w:hint="default" w:asciiTheme="minorEastAsia" w:hAnsi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t>评估粮食的种植、土壤、品种、质量的稳定性，关注粮食的采购、存储、加工和运输过程中的潜在风险，并与受影响权利人展开合作。</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0" w:rightChars="0" w:firstLine="480" w:firstLineChars="200"/>
        <w:jc w:val="both"/>
        <w:textAlignment w:val="auto"/>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t>关注并评估水资源治理，检测并关注水质变化以及环境治理。</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0" w:rightChars="0" w:firstLine="480" w:firstLineChars="200"/>
        <w:jc w:val="both"/>
        <w:textAlignment w:val="auto"/>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t>识别白酒企业在咨询和工程方面存在的风险。例如战略方向、商业机密保密风险、设备、验收等风险。</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0" w:rightChars="0" w:firstLine="480" w:firstLineChars="200"/>
        <w:jc w:val="both"/>
        <w:textAlignment w:val="auto"/>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color w:val="000000" w:themeColor="text1"/>
          <w:spacing w:val="-3"/>
          <w:sz w:val="24"/>
          <w:szCs w:val="24"/>
          <w:lang w:val="en-US" w:eastAsia="zh-CN"/>
          <w14:textFill>
            <w14:solidFill>
              <w14:schemeClr w14:val="tx1"/>
            </w14:solidFill>
          </w14:textFill>
        </w:rPr>
        <w:t>关注潜在的腐败行为和利益输送问题，评估企业廉洁管理的状况，包括制度建设和执行情况。</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right="0" w:rightChars="0" w:firstLine="480" w:firstLineChars="200"/>
        <w:jc w:val="both"/>
        <w:textAlignment w:val="auto"/>
        <w:rPr>
          <w:rFonts w:hint="default" w:asciiTheme="minorEastAsia" w:hAnsiTheme="minorEastAsia" w:cstheme="minorEastAsia"/>
          <w:color w:val="000000" w:themeColor="text1"/>
          <w:spacing w:val="-3"/>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企业要定期循环评估业务风险，尤其是重大活动之前对风险的评估非常重要，还应预测运营环境的变化。</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eastAsia="zh-CN"/>
        </w:rPr>
      </w:pPr>
      <w:bookmarkStart w:id="58" w:name="_Toc6232"/>
      <w:bookmarkStart w:id="59" w:name="_Toc20535"/>
      <w:r>
        <w:rPr>
          <w:rFonts w:hint="eastAsia" w:ascii="方正公文黑体" w:hAnsi="方正公文黑体" w:eastAsia="方正公文黑体" w:cs="方正公文黑体"/>
          <w:sz w:val="28"/>
          <w:szCs w:val="28"/>
          <w:lang w:val="en-US" w:eastAsia="zh-CN"/>
        </w:rPr>
        <w:t>5.1.3</w:t>
      </w:r>
      <w:r>
        <w:rPr>
          <w:rFonts w:hint="eastAsia" w:ascii="方正公文黑体" w:hAnsi="方正公文黑体" w:eastAsia="方正公文黑体" w:cs="方正公文黑体"/>
          <w:sz w:val="28"/>
          <w:szCs w:val="28"/>
        </w:rPr>
        <w:t>终止、防范或减轻</w:t>
      </w:r>
      <w:bookmarkEnd w:id="58"/>
      <w:r>
        <w:rPr>
          <w:rFonts w:hint="eastAsia" w:ascii="方正公文黑体" w:hAnsi="方正公文黑体" w:eastAsia="方正公文黑体" w:cs="方正公文黑体"/>
          <w:sz w:val="28"/>
          <w:szCs w:val="28"/>
          <w:lang w:eastAsia="zh-CN"/>
        </w:rPr>
        <w:t>风险</w:t>
      </w:r>
      <w:bookmarkEnd w:id="59"/>
    </w:p>
    <w:p>
      <w:pPr>
        <w:keepNext w:val="0"/>
        <w:keepLines w:val="0"/>
        <w:pageBreakBefore w:val="0"/>
        <w:widowControl w:val="0"/>
        <w:kinsoku/>
        <w:wordWrap/>
        <w:overflowPunct/>
        <w:topLinePunct w:val="0"/>
        <w:autoSpaceDE/>
        <w:autoSpaceDN/>
        <w:bidi w:val="0"/>
        <w:adjustRightInd/>
        <w:snapToGrid/>
        <w:spacing w:line="460" w:lineRule="exact"/>
        <w:ind w:firstLine="431"/>
        <w:textAlignment w:val="auto"/>
        <w:rPr>
          <w:rFonts w:hint="eastAsia" w:asciiTheme="minorEastAsia" w:hAnsi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企业</w:t>
      </w:r>
      <w:r>
        <w:rPr>
          <w:rFonts w:hint="eastAsia" w:asciiTheme="minorEastAsia" w:hAnsiTheme="minorEastAsia" w:cstheme="minorEastAsia"/>
          <w:spacing w:val="-2"/>
          <w:sz w:val="24"/>
          <w:szCs w:val="24"/>
          <w:lang w:val="en-US" w:eastAsia="zh-CN"/>
        </w:rPr>
        <w:t>应</w:t>
      </w:r>
      <w:r>
        <w:rPr>
          <w:rFonts w:hint="eastAsia" w:asciiTheme="minorEastAsia" w:hAnsiTheme="minorEastAsia" w:eastAsiaTheme="minorEastAsia" w:cstheme="minorEastAsia"/>
          <w:spacing w:val="-2"/>
          <w:sz w:val="24"/>
          <w:szCs w:val="24"/>
          <w:lang w:val="en-US" w:eastAsia="zh-CN"/>
        </w:rPr>
        <w:t>基于</w:t>
      </w:r>
      <w:r>
        <w:rPr>
          <w:rFonts w:hint="eastAsia" w:asciiTheme="minorEastAsia" w:hAnsiTheme="minorEastAsia" w:cstheme="minorEastAsia"/>
          <w:spacing w:val="-2"/>
          <w:sz w:val="24"/>
          <w:szCs w:val="24"/>
          <w:lang w:val="en-US" w:eastAsia="zh-CN"/>
        </w:rPr>
        <w:t>对自身风险的评估，停止开展正在对负责任商业行为或助长不利影响的活动，制定并实施量身定制的改进计划，以防范与减轻潜在（未来）不利影响。</w:t>
      </w:r>
    </w:p>
    <w:p>
      <w:pPr>
        <w:keepNext w:val="0"/>
        <w:keepLines w:val="0"/>
        <w:pageBreakBefore w:val="0"/>
        <w:widowControl w:val="0"/>
        <w:kinsoku/>
        <w:wordWrap/>
        <w:overflowPunct/>
        <w:topLinePunct w:val="0"/>
        <w:autoSpaceDE/>
        <w:autoSpaceDN/>
        <w:bidi w:val="0"/>
        <w:adjustRightInd/>
        <w:snapToGrid/>
        <w:spacing w:line="460" w:lineRule="exact"/>
        <w:ind w:firstLine="431"/>
        <w:textAlignment w:val="auto"/>
        <w:rPr>
          <w:rFonts w:hint="default" w:asciiTheme="minorEastAsia" w:hAnsiTheme="minorEastAsia" w:cstheme="minorEastAsia"/>
          <w:spacing w:val="-2"/>
          <w:sz w:val="24"/>
          <w:szCs w:val="24"/>
          <w:lang w:val="en-US" w:eastAsia="zh-CN"/>
        </w:rPr>
      </w:pPr>
      <w:r>
        <w:rPr>
          <w:rFonts w:hint="eastAsia" w:asciiTheme="minorEastAsia" w:hAnsiTheme="minorEastAsia" w:cstheme="minorEastAsia"/>
          <w:spacing w:val="-2"/>
          <w:sz w:val="24"/>
          <w:szCs w:val="24"/>
          <w:lang w:val="en-US" w:eastAsia="zh-CN"/>
        </w:rPr>
        <w:t>企业可以从管理体系、管理政策、设施设备、培训等方面着手采用适合自己的方式终止和助长不利影响，制定改进计划。</w:t>
      </w:r>
    </w:p>
    <w:p>
      <w:pPr>
        <w:keepNext w:val="0"/>
        <w:keepLines w:val="0"/>
        <w:pageBreakBefore w:val="0"/>
        <w:widowControl w:val="0"/>
        <w:kinsoku/>
        <w:wordWrap/>
        <w:overflowPunct/>
        <w:topLinePunct w:val="0"/>
        <w:bidi w:val="0"/>
        <w:adjustRightInd/>
        <w:snapToGrid/>
        <w:spacing w:line="440" w:lineRule="exact"/>
        <w:ind w:right="0" w:firstLine="480" w:firstLineChars="200"/>
        <w:textAlignment w:val="auto"/>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pPr>
      <w:r>
        <w:rPr>
          <w:sz w:val="24"/>
        </w:rPr>
        <mc:AlternateContent>
          <mc:Choice Requires="wps">
            <w:drawing>
              <wp:anchor distT="0" distB="0" distL="114300" distR="114300" simplePos="0" relativeHeight="251664384" behindDoc="0" locked="0" layoutInCell="1" allowOverlap="1">
                <wp:simplePos x="0" y="0"/>
                <wp:positionH relativeFrom="column">
                  <wp:posOffset>360680</wp:posOffset>
                </wp:positionH>
                <wp:positionV relativeFrom="paragraph">
                  <wp:posOffset>26035</wp:posOffset>
                </wp:positionV>
                <wp:extent cx="5262245" cy="0"/>
                <wp:effectExtent l="15875" t="15875" r="0" b="22225"/>
                <wp:wrapNone/>
                <wp:docPr id="9" name="直接连接符 9"/>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4pt;margin-top:2.05pt;height:0pt;width:414.35pt;z-index:251664384;mso-width-relative:page;mso-height-relative:page;" filled="f" stroked="t" coordsize="21600,21600" o:gfxdata="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EfkQKNIAAAAGAQAADwAAAAAAAAABACAAAAAi&#10;AAAAZHJzL2Rvd25yZXYueG1sUEsBAhQAFAAAAAgAh07iQPHRyQzXAQAAjwMAAA4AAAAAAAAAAQAg&#10;AAAAIQEAAGRycy9lMm9Eb2MueG1sUEsFBgAAAAAGAAYAWQEAAGoFAAAAAA==&#10;">
                <v:fill on="f" focussize="0,0"/>
                <v:stroke weight="2.5pt" color="#4874CB [3204]" joinstyle="round" dashstyle="1 1" endcap="round"/>
                <v:imagedata o:title=""/>
                <o:lock v:ext="edit" aspectratio="f"/>
              </v:line>
            </w:pict>
          </mc:Fallback>
        </mc:AlternateContent>
      </w:r>
      <w:r>
        <w:rPr>
          <w:rFonts w:hint="eastAsia" w:ascii="微软雅黑" w:hAnsi="微软雅黑" w:eastAsia="微软雅黑" w:cs="微软雅黑"/>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t>重要提示</w:t>
      </w:r>
      <w:r>
        <w:rPr>
          <w:rFonts w:hint="eastAsia" w:ascii="方正仿宋_GB2312" w:hAnsi="方正仿宋_GB2312" w:eastAsia="方正仿宋_GB2312" w:cs="方正仿宋_GB2312"/>
          <w:snapToGrid w:val="0"/>
          <w:color w:val="000000"/>
          <w:kern w:val="0"/>
          <w:sz w:val="24"/>
          <w:szCs w:val="24"/>
          <w:lang w:val="en-US" w:eastAsia="en-US" w:bidi="ar-SA"/>
          <w14:textOutline w14:w="4358" w14:cap="sq" w14:cmpd="sng">
            <w14:solidFill>
              <w14:srgbClr w14:val="000000"/>
            </w14:solidFill>
            <w14:prstDash w14:val="solid"/>
            <w14:bevel/>
          </w14:textOutline>
        </w:rPr>
        <w:t>：制定和实施行动改进计划是终止、预防或缓解风险的</w:t>
      </w:r>
      <w:r>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t>方法</w:t>
      </w:r>
    </w:p>
    <w:p>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jc w:val="both"/>
        <w:textAlignment w:val="auto"/>
        <w:rPr>
          <w:rFonts w:hint="eastAsia" w:ascii="方正仿宋_GB2312" w:hAnsi="方正仿宋_GB2312" w:eastAsia="方正仿宋_GB2312" w:cs="方正仿宋_GB2312"/>
          <w:b w:val="0"/>
          <w:bCs w:val="0"/>
          <w:color w:val="000000"/>
          <w:kern w:val="0"/>
          <w:sz w:val="24"/>
          <w:szCs w:val="24"/>
          <w:lang w:val="en-US" w:eastAsia="en-US"/>
        </w:rPr>
      </w:pPr>
      <w:r>
        <w:rPr>
          <w:rFonts w:hint="eastAsia" w:ascii="方正仿宋_GB2312" w:hAnsi="方正仿宋_GB2312" w:eastAsia="方正仿宋_GB2312" w:cs="方正仿宋_GB2312"/>
          <w:b w:val="0"/>
          <w:bCs w:val="0"/>
          <w:color w:val="000000"/>
          <w:kern w:val="0"/>
          <w:sz w:val="24"/>
          <w:szCs w:val="24"/>
          <w:lang w:val="en-US" w:eastAsia="en-US"/>
        </w:rPr>
        <w:t>不同</w:t>
      </w:r>
      <w:r>
        <w:rPr>
          <w:rFonts w:hint="eastAsia" w:ascii="方正仿宋_GB2312" w:hAnsi="方正仿宋_GB2312" w:eastAsia="方正仿宋_GB2312" w:cs="方正仿宋_GB2312"/>
          <w:b w:val="0"/>
          <w:bCs w:val="0"/>
          <w:color w:val="000000"/>
          <w:kern w:val="0"/>
          <w:sz w:val="24"/>
          <w:szCs w:val="24"/>
          <w:lang w:val="en-US" w:eastAsia="zh-CN"/>
        </w:rPr>
        <w:t>供应</w:t>
      </w:r>
      <w:r>
        <w:rPr>
          <w:rFonts w:hint="eastAsia" w:ascii="方正仿宋_GB2312" w:hAnsi="方正仿宋_GB2312" w:eastAsia="方正仿宋_GB2312" w:cs="方正仿宋_GB2312"/>
          <w:b w:val="0"/>
          <w:bCs w:val="0"/>
          <w:color w:val="000000"/>
          <w:kern w:val="0"/>
          <w:sz w:val="24"/>
          <w:szCs w:val="24"/>
          <w:lang w:val="en-US" w:eastAsia="en-US"/>
        </w:rPr>
        <w:t>风险对应不同的终止、预防或缓解措施，为了防止解决措施的碎片化或者管理漏洞，</w:t>
      </w:r>
      <w:r>
        <w:rPr>
          <w:rFonts w:hint="eastAsia" w:ascii="方正仿宋_GB2312" w:hAnsi="方正仿宋_GB2312" w:eastAsia="方正仿宋_GB2312" w:cs="方正仿宋_GB2312"/>
          <w:b w:val="0"/>
          <w:bCs w:val="0"/>
          <w:color w:val="000000"/>
          <w:kern w:val="0"/>
          <w:sz w:val="24"/>
          <w:szCs w:val="24"/>
          <w:lang w:val="en-US" w:eastAsia="zh-CN"/>
        </w:rPr>
        <w:t>白酒</w:t>
      </w:r>
      <w:r>
        <w:rPr>
          <w:rFonts w:hint="eastAsia" w:ascii="方正仿宋_GB2312" w:hAnsi="方正仿宋_GB2312" w:eastAsia="方正仿宋_GB2312" w:cs="方正仿宋_GB2312"/>
          <w:b w:val="0"/>
          <w:bCs w:val="0"/>
          <w:color w:val="000000"/>
          <w:kern w:val="0"/>
          <w:sz w:val="24"/>
          <w:szCs w:val="24"/>
          <w:lang w:val="en-US" w:eastAsia="en-US"/>
        </w:rPr>
        <w:t>企业可制定总体的</w:t>
      </w:r>
      <w:r>
        <w:rPr>
          <w:rFonts w:hint="eastAsia" w:ascii="方正仿宋_GB2312" w:hAnsi="方正仿宋_GB2312" w:eastAsia="方正仿宋_GB2312" w:cs="方正仿宋_GB2312"/>
          <w:b w:val="0"/>
          <w:bCs w:val="0"/>
          <w:color w:val="000000"/>
          <w:kern w:val="0"/>
          <w:sz w:val="24"/>
          <w:szCs w:val="24"/>
          <w:lang w:val="en-US" w:eastAsia="zh-CN"/>
        </w:rPr>
        <w:t>供应</w:t>
      </w:r>
      <w:r>
        <w:rPr>
          <w:rFonts w:hint="eastAsia" w:ascii="方正仿宋_GB2312" w:hAnsi="方正仿宋_GB2312" w:eastAsia="方正仿宋_GB2312" w:cs="方正仿宋_GB2312"/>
          <w:b w:val="0"/>
          <w:bCs w:val="0"/>
          <w:color w:val="000000"/>
          <w:kern w:val="0"/>
          <w:sz w:val="24"/>
          <w:szCs w:val="24"/>
          <w:lang w:val="en-US" w:eastAsia="en-US"/>
        </w:rPr>
        <w:t>风险行动改进计划表，明确风险类型、原因（例如</w:t>
      </w:r>
      <w:r>
        <w:rPr>
          <w:rFonts w:hint="eastAsia" w:ascii="方正仿宋_GB2312" w:hAnsi="方正仿宋_GB2312" w:eastAsia="方正仿宋_GB2312" w:cs="方正仿宋_GB2312"/>
          <w:b w:val="0"/>
          <w:bCs w:val="0"/>
          <w:color w:val="000000"/>
          <w:kern w:val="0"/>
          <w:sz w:val="24"/>
          <w:szCs w:val="24"/>
          <w:lang w:val="en-US" w:eastAsia="zh-CN"/>
        </w:rPr>
        <w:t>廉洁风险、包装材料风险、水风险、原材料风险、服务风险</w:t>
      </w:r>
      <w:r>
        <w:rPr>
          <w:rFonts w:hint="eastAsia" w:ascii="方正仿宋_GB2312" w:hAnsi="方正仿宋_GB2312" w:eastAsia="方正仿宋_GB2312" w:cs="方正仿宋_GB2312"/>
          <w:b w:val="0"/>
          <w:bCs w:val="0"/>
          <w:color w:val="000000"/>
          <w:kern w:val="0"/>
          <w:sz w:val="24"/>
          <w:szCs w:val="24"/>
          <w:lang w:val="en-US" w:eastAsia="en-US"/>
        </w:rPr>
        <w:t>等），确定负责部门和人员（例如</w:t>
      </w:r>
      <w:r>
        <w:rPr>
          <w:rFonts w:hint="eastAsia" w:ascii="方正仿宋_GB2312" w:hAnsi="方正仿宋_GB2312" w:eastAsia="方正仿宋_GB2312" w:cs="方正仿宋_GB2312"/>
          <w:b w:val="0"/>
          <w:bCs w:val="0"/>
          <w:color w:val="000000"/>
          <w:kern w:val="0"/>
          <w:sz w:val="24"/>
          <w:szCs w:val="24"/>
          <w:lang w:val="en-US" w:eastAsia="zh-CN"/>
        </w:rPr>
        <w:t>环境局</w:t>
      </w:r>
      <w:r>
        <w:rPr>
          <w:rFonts w:hint="eastAsia" w:ascii="方正仿宋_GB2312" w:hAnsi="方正仿宋_GB2312" w:eastAsia="方正仿宋_GB2312" w:cs="方正仿宋_GB2312"/>
          <w:b w:val="0"/>
          <w:bCs w:val="0"/>
          <w:color w:val="000000"/>
          <w:kern w:val="0"/>
          <w:sz w:val="24"/>
          <w:szCs w:val="24"/>
          <w:lang w:val="en-US" w:eastAsia="en-US"/>
        </w:rPr>
        <w:t>、</w:t>
      </w:r>
      <w:r>
        <w:rPr>
          <w:rFonts w:hint="eastAsia" w:ascii="方正仿宋_GB2312" w:hAnsi="方正仿宋_GB2312" w:eastAsia="方正仿宋_GB2312" w:cs="方正仿宋_GB2312"/>
          <w:b w:val="0"/>
          <w:bCs w:val="0"/>
          <w:color w:val="000000"/>
          <w:kern w:val="0"/>
          <w:sz w:val="24"/>
          <w:szCs w:val="24"/>
          <w:lang w:val="en-US" w:eastAsia="zh-CN"/>
        </w:rPr>
        <w:t>包装车间</w:t>
      </w:r>
      <w:r>
        <w:rPr>
          <w:rFonts w:hint="eastAsia" w:ascii="方正仿宋_GB2312" w:hAnsi="方正仿宋_GB2312" w:eastAsia="方正仿宋_GB2312" w:cs="方正仿宋_GB2312"/>
          <w:b w:val="0"/>
          <w:bCs w:val="0"/>
          <w:color w:val="000000"/>
          <w:kern w:val="0"/>
          <w:sz w:val="24"/>
          <w:szCs w:val="24"/>
          <w:lang w:val="en-US" w:eastAsia="en-US"/>
        </w:rPr>
        <w:t>、供应商</w:t>
      </w:r>
      <w:r>
        <w:rPr>
          <w:rFonts w:hint="eastAsia" w:ascii="方正仿宋_GB2312" w:hAnsi="方正仿宋_GB2312" w:eastAsia="方正仿宋_GB2312" w:cs="方正仿宋_GB2312"/>
          <w:b w:val="0"/>
          <w:bCs w:val="0"/>
          <w:color w:val="000000"/>
          <w:kern w:val="0"/>
          <w:sz w:val="24"/>
          <w:szCs w:val="24"/>
          <w:lang w:val="en-US" w:eastAsia="zh-CN"/>
        </w:rPr>
        <w:t>、后勤服务部</w:t>
      </w:r>
      <w:r>
        <w:rPr>
          <w:rFonts w:hint="eastAsia" w:ascii="方正仿宋_GB2312" w:hAnsi="方正仿宋_GB2312" w:eastAsia="方正仿宋_GB2312" w:cs="方正仿宋_GB2312"/>
          <w:b w:val="0"/>
          <w:bCs w:val="0"/>
          <w:color w:val="000000"/>
          <w:kern w:val="0"/>
          <w:sz w:val="24"/>
          <w:szCs w:val="24"/>
          <w:lang w:val="en-US" w:eastAsia="en-US"/>
        </w:rPr>
        <w:t>等），制定时间期限和复核指标，在响应时间期限内检查行动改进计划的效果。</w:t>
      </w:r>
    </w:p>
    <w:p>
      <w:pPr>
        <w:keepNext w:val="0"/>
        <w:keepLines w:val="0"/>
        <w:pageBreakBefore w:val="0"/>
        <w:widowControl w:val="0"/>
        <w:kinsoku/>
        <w:wordWrap/>
        <w:overflowPunct/>
        <w:topLinePunct w:val="0"/>
        <w:autoSpaceDE/>
        <w:autoSpaceDN/>
        <w:bidi w:val="0"/>
        <w:adjustRightInd/>
        <w:snapToGrid/>
        <w:spacing w:line="440" w:lineRule="exact"/>
        <w:ind w:left="0" w:right="0" w:firstLine="480" w:firstLineChars="200"/>
        <w:jc w:val="both"/>
        <w:textAlignment w:val="auto"/>
        <w:rPr>
          <w:rFonts w:hint="eastAsia" w:asciiTheme="minorEastAsia" w:hAnsiTheme="minorEastAsia" w:eastAsiaTheme="minorEastAsia" w:cstheme="minorEastAsia"/>
          <w:spacing w:val="-2"/>
          <w:sz w:val="24"/>
          <w:szCs w:val="24"/>
        </w:rPr>
      </w:pPr>
      <w:r>
        <w:rPr>
          <w:sz w:val="24"/>
        </w:rPr>
        <mc:AlternateContent>
          <mc:Choice Requires="wps">
            <w:drawing>
              <wp:anchor distT="0" distB="0" distL="114300" distR="114300" simplePos="0" relativeHeight="251665408" behindDoc="0" locked="0" layoutInCell="1" allowOverlap="1">
                <wp:simplePos x="0" y="0"/>
                <wp:positionH relativeFrom="column">
                  <wp:posOffset>323215</wp:posOffset>
                </wp:positionH>
                <wp:positionV relativeFrom="paragraph">
                  <wp:posOffset>37465</wp:posOffset>
                </wp:positionV>
                <wp:extent cx="5262245" cy="0"/>
                <wp:effectExtent l="15875" t="15875" r="0" b="22225"/>
                <wp:wrapNone/>
                <wp:docPr id="10" name="直接连接符 10"/>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45pt;margin-top:2.95pt;height:0pt;width:414.35pt;z-index:251665408;mso-width-relative:page;mso-height-relative:page;" filled="f" stroked="t" coordsize="21600,21600" o:gfxdata="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e1Xxq9IAAAAGAQAADwAAAAAAAAABACAAAAAi&#10;AAAAZHJzL2Rvd25yZXYueG1sUEsBAhQAFAAAAAgAh07iQGR6DBrXAQAAkQMAAA4AAAAAAAAAAQAg&#10;AAAAIQEAAGRycy9lMm9Eb2MueG1sUEsFBgAAAAAGAAYAWQEAAGoFAAAAAA==&#10;">
                <v:fill on="f" focussize="0,0"/>
                <v:stroke weight="2.5pt" color="#4874CB [3204]" joinstyle="round" dashstyle="1 1" endcap="round"/>
                <v:imagedata o:title=""/>
                <o:lock v:ext="edit" aspectratio="f"/>
              </v:line>
            </w:pict>
          </mc:Fallback>
        </mc:AlternateContent>
      </w:r>
      <w:r>
        <w:rPr>
          <w:rFonts w:hint="eastAsia" w:asciiTheme="minorEastAsia" w:hAnsiTheme="minorEastAsia" w:eastAsiaTheme="minorEastAsia" w:cstheme="minorEastAsia"/>
          <w:spacing w:val="-2"/>
          <w:sz w:val="24"/>
          <w:szCs w:val="24"/>
        </w:rPr>
        <w:t>企业应当制定</w:t>
      </w:r>
      <w:r>
        <w:rPr>
          <w:rFonts w:hint="eastAsia" w:asciiTheme="minorEastAsia" w:hAnsiTheme="minorEastAsia" w:eastAsiaTheme="minorEastAsia" w:cstheme="minorEastAsia"/>
          <w:spacing w:val="-2"/>
          <w:sz w:val="24"/>
          <w:szCs w:val="24"/>
          <w:lang w:eastAsia="zh-CN"/>
        </w:rPr>
        <w:t>供应</w:t>
      </w:r>
      <w:r>
        <w:rPr>
          <w:rFonts w:hint="eastAsia" w:asciiTheme="minorEastAsia" w:hAnsiTheme="minorEastAsia" w:eastAsiaTheme="minorEastAsia" w:cstheme="minorEastAsia"/>
          <w:spacing w:val="-2"/>
          <w:sz w:val="24"/>
          <w:szCs w:val="24"/>
        </w:rPr>
        <w:t>风险管理计划。计划制定过程中，除公司管理层之外，还应广泛征求</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2"/>
          <w:sz w:val="24"/>
          <w:szCs w:val="24"/>
        </w:rPr>
        <w:t>、外部专家等多</w:t>
      </w:r>
      <w:r>
        <w:rPr>
          <w:rFonts w:hint="eastAsia" w:asciiTheme="minorEastAsia" w:hAnsiTheme="minorEastAsia" w:cstheme="minorEastAsia"/>
          <w:spacing w:val="-2"/>
          <w:sz w:val="24"/>
          <w:szCs w:val="24"/>
          <w:lang w:val="en-US" w:eastAsia="zh-CN"/>
        </w:rPr>
        <w:t>个</w:t>
      </w:r>
      <w:r>
        <w:rPr>
          <w:rFonts w:hint="eastAsia" w:asciiTheme="minorEastAsia" w:hAnsiTheme="minorEastAsia" w:eastAsiaTheme="minorEastAsia" w:cstheme="minorEastAsia"/>
          <w:spacing w:val="-2"/>
          <w:sz w:val="24"/>
          <w:szCs w:val="24"/>
        </w:rPr>
        <w:t>利益相关方的意见。</w:t>
      </w:r>
    </w:p>
    <w:p>
      <w:pPr>
        <w:keepNext w:val="0"/>
        <w:keepLines w:val="0"/>
        <w:pageBreakBefore w:val="0"/>
        <w:widowControl w:val="0"/>
        <w:kinsoku/>
        <w:wordWrap/>
        <w:overflowPunct/>
        <w:topLinePunct w:val="0"/>
        <w:autoSpaceDE/>
        <w:autoSpaceDN/>
        <w:bidi w:val="0"/>
        <w:adjustRightInd/>
        <w:snapToGrid/>
        <w:spacing w:line="440" w:lineRule="exact"/>
        <w:ind w:left="0" w:right="0" w:firstLine="472"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企业可以通过培训、研讨会等各种方式，提升全体</w:t>
      </w:r>
      <w:r>
        <w:rPr>
          <w:rFonts w:hint="eastAsia" w:asciiTheme="minorEastAsia" w:hAnsiTheme="minorEastAsia" w:eastAsiaTheme="minorEastAsia" w:cstheme="minorEastAsia"/>
          <w:spacing w:val="-2"/>
          <w:sz w:val="24"/>
          <w:szCs w:val="24"/>
          <w:lang w:eastAsia="zh-CN"/>
        </w:rPr>
        <w:t>供应商的风险</w:t>
      </w:r>
      <w:r>
        <w:rPr>
          <w:rFonts w:hint="eastAsia" w:asciiTheme="minorEastAsia" w:hAnsiTheme="minorEastAsia" w:eastAsiaTheme="minorEastAsia" w:cstheme="minorEastAsia"/>
          <w:spacing w:val="-3"/>
          <w:sz w:val="24"/>
          <w:szCs w:val="24"/>
        </w:rPr>
        <w:t>意识；同时，完善的申诉机制作为企业管理政策与体系的一部分，是</w:t>
      </w:r>
      <w:r>
        <w:rPr>
          <w:rFonts w:hint="eastAsia" w:asciiTheme="minorEastAsia" w:hAnsiTheme="minorEastAsia" w:eastAsiaTheme="minorEastAsia" w:cstheme="minorEastAsia"/>
          <w:spacing w:val="-4"/>
          <w:sz w:val="24"/>
          <w:szCs w:val="24"/>
        </w:rPr>
        <w:t>终止、防范或减轻</w:t>
      </w:r>
      <w:r>
        <w:rPr>
          <w:rFonts w:hint="eastAsia" w:asciiTheme="minorEastAsia" w:hAnsiTheme="minorEastAsia" w:cstheme="minorEastAsia"/>
          <w:spacing w:val="-4"/>
          <w:sz w:val="24"/>
          <w:szCs w:val="24"/>
          <w:lang w:eastAsia="zh-CN"/>
        </w:rPr>
        <w:t>风险</w:t>
      </w:r>
      <w:r>
        <w:rPr>
          <w:rFonts w:hint="eastAsia" w:asciiTheme="minorEastAsia" w:hAnsiTheme="minorEastAsia" w:eastAsiaTheme="minorEastAsia" w:cstheme="minorEastAsia"/>
          <w:spacing w:val="-3"/>
          <w:sz w:val="24"/>
          <w:szCs w:val="24"/>
        </w:rPr>
        <w:t>不可或缺的部分。企业需要确保，</w:t>
      </w:r>
      <w:r>
        <w:rPr>
          <w:rFonts w:hint="eastAsia" w:asciiTheme="minorEastAsia" w:hAnsiTheme="minorEastAsia" w:eastAsiaTheme="minorEastAsia" w:cstheme="minorEastAsia"/>
          <w:spacing w:val="-4"/>
          <w:sz w:val="24"/>
          <w:szCs w:val="24"/>
          <w:lang w:eastAsia="zh-CN"/>
        </w:rPr>
        <w:t>供应商</w:t>
      </w:r>
      <w:r>
        <w:rPr>
          <w:rFonts w:hint="eastAsia" w:asciiTheme="minorEastAsia" w:hAnsiTheme="minorEastAsia" w:cstheme="minorEastAsia"/>
          <w:spacing w:val="-3"/>
          <w:sz w:val="24"/>
          <w:szCs w:val="24"/>
          <w:lang w:val="en-US" w:eastAsia="zh-CN"/>
        </w:rPr>
        <w:t>遇到</w:t>
      </w:r>
      <w:r>
        <w:rPr>
          <w:rFonts w:hint="eastAsia" w:asciiTheme="minorEastAsia" w:hAnsiTheme="minorEastAsia" w:cstheme="minorEastAsia"/>
          <w:spacing w:val="-4"/>
          <w:sz w:val="24"/>
          <w:szCs w:val="24"/>
          <w:lang w:eastAsia="zh-CN"/>
        </w:rPr>
        <w:t>风险</w:t>
      </w:r>
      <w:r>
        <w:rPr>
          <w:rFonts w:hint="eastAsia" w:asciiTheme="minorEastAsia" w:hAnsiTheme="minorEastAsia" w:eastAsiaTheme="minorEastAsia" w:cstheme="minorEastAsia"/>
          <w:spacing w:val="-4"/>
          <w:sz w:val="24"/>
          <w:szCs w:val="24"/>
        </w:rPr>
        <w:t>可以通过</w:t>
      </w:r>
      <w:r>
        <w:rPr>
          <w:rFonts w:hint="eastAsia" w:asciiTheme="minorEastAsia" w:hAnsiTheme="minorEastAsia" w:eastAsiaTheme="minorEastAsia" w:cstheme="minorEastAsia"/>
          <w:spacing w:val="-5"/>
          <w:sz w:val="24"/>
          <w:szCs w:val="24"/>
        </w:rPr>
        <w:t>申诉机制充分表达诉求。</w:t>
      </w:r>
    </w:p>
    <w:p>
      <w:pPr>
        <w:keepNext w:val="0"/>
        <w:keepLines w:val="0"/>
        <w:pageBreakBefore w:val="0"/>
        <w:widowControl w:val="0"/>
        <w:kinsoku/>
        <w:wordWrap/>
        <w:overflowPunct/>
        <w:topLinePunct w:val="0"/>
        <w:autoSpaceDE/>
        <w:autoSpaceDN/>
        <w:bidi w:val="0"/>
        <w:adjustRightInd/>
        <w:snapToGrid/>
        <w:spacing w:line="440" w:lineRule="exact"/>
        <w:ind w:left="0" w:right="0" w:firstLine="472" w:firstLineChars="200"/>
        <w:textAlignment w:val="auto"/>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lang w:eastAsia="zh-CN"/>
        </w:rPr>
        <w:t>白酒</w:t>
      </w:r>
      <w:r>
        <w:rPr>
          <w:rFonts w:hint="eastAsia" w:asciiTheme="minorEastAsia" w:hAnsiTheme="minorEastAsia" w:cstheme="minorEastAsia"/>
          <w:spacing w:val="-2"/>
          <w:sz w:val="24"/>
          <w:szCs w:val="24"/>
          <w:lang w:val="en-US" w:eastAsia="zh-CN"/>
        </w:rPr>
        <w:t>采购</w:t>
      </w:r>
      <w:r>
        <w:rPr>
          <w:rFonts w:hint="eastAsia" w:asciiTheme="minorEastAsia" w:hAnsiTheme="minorEastAsia" w:eastAsiaTheme="minorEastAsia" w:cstheme="minorEastAsia"/>
          <w:spacing w:val="-2"/>
          <w:sz w:val="24"/>
          <w:szCs w:val="24"/>
        </w:rPr>
        <w:t>风险管理计划是动态的：计划需要随着风险领域的演变而调整；</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center"/>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bookmarkStart w:id="60" w:name="_Toc26275"/>
      <w:r>
        <w:rPr>
          <w:rFonts w:hint="eastAsia" w:ascii="方正仿宋_GB2312" w:hAnsi="方正仿宋_GB2312" w:eastAsia="方正仿宋_GB2312" w:cs="方正仿宋_GB2312"/>
          <w:spacing w:val="-2"/>
          <w:sz w:val="24"/>
          <w:szCs w:val="24"/>
          <w:lang w:val="en-US" w:eastAsia="zh-CN"/>
        </w:rPr>
        <w:t>表5-</w:t>
      </w:r>
      <w:bookmarkEnd w:id="60"/>
      <w:r>
        <w:rPr>
          <w:rFonts w:hint="eastAsia" w:ascii="方正仿宋_GB2312" w:hAnsi="方正仿宋_GB2312" w:eastAsia="方正仿宋_GB2312" w:cs="方正仿宋_GB2312"/>
          <w:spacing w:val="-2"/>
          <w:sz w:val="24"/>
          <w:szCs w:val="24"/>
          <w:lang w:val="en-US" w:eastAsia="zh-CN"/>
        </w:rPr>
        <w:t>2重点风险领域企业终止、防范或减轻风险的行动措施</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示例</w:t>
      </w:r>
    </w:p>
    <w:tbl>
      <w:tblPr>
        <w:tblStyle w:val="8"/>
        <w:tblW w:w="48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2"/>
        <w:gridCol w:w="6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bookmarkStart w:id="61" w:name="_Toc28818"/>
            <w:r>
              <w:rPr>
                <w:rFonts w:hint="eastAsia" w:ascii="方正仿宋_GB2312" w:hAnsi="方正仿宋_GB2312" w:eastAsia="方正仿宋_GB2312" w:cs="方正仿宋_GB2312"/>
                <w:b w:val="0"/>
                <w:bCs w:val="0"/>
                <w:color w:val="000000"/>
                <w:kern w:val="0"/>
                <w:sz w:val="24"/>
                <w:szCs w:val="24"/>
                <w:lang w:val="en-US" w:eastAsia="zh-CN"/>
              </w:rPr>
              <w:t xml:space="preserve">  风险领域</w:t>
            </w:r>
            <w:bookmarkEnd w:id="61"/>
          </w:p>
        </w:tc>
        <w:tc>
          <w:tcPr>
            <w:tcW w:w="3917"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bookmarkStart w:id="62" w:name="_Toc22994"/>
            <w:r>
              <w:rPr>
                <w:rFonts w:hint="eastAsia" w:ascii="方正仿宋_GB2312" w:hAnsi="方正仿宋_GB2312" w:eastAsia="方正仿宋_GB2312" w:cs="方正仿宋_GB2312"/>
                <w:b w:val="0"/>
                <w:bCs w:val="0"/>
                <w:color w:val="000000"/>
                <w:kern w:val="0"/>
                <w:sz w:val="24"/>
                <w:szCs w:val="24"/>
                <w:lang w:val="en-US" w:eastAsia="zh-CN"/>
              </w:rPr>
              <w:t>企业可以采取的</w:t>
            </w:r>
            <w:bookmarkEnd w:id="62"/>
            <w:r>
              <w:rPr>
                <w:rFonts w:hint="eastAsia" w:ascii="方正仿宋_GB2312" w:hAnsi="方正仿宋_GB2312" w:eastAsia="方正仿宋_GB2312" w:cs="方正仿宋_GB2312"/>
                <w:b w:val="0"/>
                <w:bCs w:val="0"/>
                <w:color w:val="000000"/>
                <w:kern w:val="0"/>
                <w:sz w:val="24"/>
                <w:szCs w:val="24"/>
                <w:lang w:val="en-US" w:eastAsia="zh-CN"/>
              </w:rPr>
              <w:t>行动措施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tcBorders>
              <w:tl2br w:val="nil"/>
              <w:tr2bl w:val="nil"/>
            </w:tcBorders>
            <w:vAlign w:val="center"/>
          </w:tcPr>
          <w:p>
            <w:pPr>
              <w:pageBreakBefore w:val="0"/>
              <w:widowControl w:val="0"/>
              <w:numPr>
                <w:ilvl w:val="0"/>
                <w:numId w:val="0"/>
              </w:numPr>
              <w:wordWrap/>
              <w:overflowPunct/>
              <w:topLinePunct w:val="0"/>
              <w:bidi w:val="0"/>
              <w:spacing w:before="118" w:line="400" w:lineRule="exact"/>
              <w:ind w:leftChars="0"/>
              <w:jc w:val="center"/>
              <w:rPr>
                <w:rFonts w:hint="eastAsia" w:ascii="方正仿宋_GB2312" w:hAnsi="方正仿宋_GB2312" w:eastAsia="方正仿宋_GB2312" w:cs="方正仿宋_GB2312"/>
                <w:b w:val="0"/>
                <w:bCs w:val="0"/>
                <w:color w:val="auto"/>
                <w:kern w:val="0"/>
                <w:sz w:val="24"/>
                <w:szCs w:val="24"/>
                <w:lang w:val="en-US" w:eastAsia="zh-CN"/>
              </w:rPr>
            </w:pPr>
            <w:bookmarkStart w:id="63" w:name="_Toc26529"/>
            <w:r>
              <w:rPr>
                <w:rFonts w:hint="eastAsia" w:ascii="方正仿宋_GB2312" w:hAnsi="方正仿宋_GB2312" w:eastAsia="方正仿宋_GB2312" w:cs="方正仿宋_GB2312"/>
                <w:b w:val="0"/>
                <w:bCs w:val="0"/>
                <w:color w:val="auto"/>
                <w:kern w:val="0"/>
                <w:sz w:val="24"/>
                <w:szCs w:val="24"/>
                <w:lang w:val="en-US" w:eastAsia="zh-CN"/>
              </w:rPr>
              <w:t>种植和土壤风险</w:t>
            </w:r>
          </w:p>
        </w:tc>
        <w:tc>
          <w:tcPr>
            <w:tcW w:w="3917"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●土壤测试与评估</w:t>
            </w:r>
            <w:r>
              <w:rPr>
                <w:rFonts w:hint="default" w:ascii="方正仿宋_GB2312" w:hAnsi="方正仿宋_GB2312" w:eastAsia="方正仿宋_GB2312" w:cs="方正仿宋_GB2312"/>
                <w:b w:val="0"/>
                <w:bCs w:val="0"/>
                <w:color w:val="000000"/>
                <w:kern w:val="0"/>
                <w:sz w:val="24"/>
                <w:szCs w:val="24"/>
                <w:lang w:val="en-US" w:eastAsia="zh-CN"/>
              </w:rPr>
              <w:t>：定期进行土壤质量测试，评估土壤中的营养成分和有害物质含量，确保种植环境适宜原材料生长。</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实施良好农业实践（GAP）：采用良好农业实践，包括合理轮作、使用有机肥料和低毒农药，减少化学品的使用，从而保护土壤健康和提高土壤肥力。</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环境监测：监测种植区域的环境状况，如气候变化、水资源质量等，以便及时调整种植策略。</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病虫害管理：建立有效的病虫害预防和控制体系，采用生物防治等环保方式减少对土壤和植物的负面影响。</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可持续种植认证：积极参与可持续种植项目并获取认证，如有机认证等，以证明企业对环境的承诺和种植产品的质量。</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培训与教育：对种植户进行培训，教育他们采用可持续种植方法，提高他们对土壤管理和环境保护的认识。</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种植技术研发：投资于种植技术的研发，如抗旱耐病品种的选育，提高作物的适应性和生产效率。</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建立追溯体系：建立完整的原材料追溯体系，从种植、收获到运输的每一环节都能追踪，确保原材料来源的可靠性和安全性。</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与地方政府和社区合作：与地方政府和社区合作，共同促进区域环境保护和土壤改良项目，为种植提供更好的环境条件。</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风险评估与管理计划：定期进行风险评估，制定针对种植和土壤风险的管理计划，包括应对措施和紧急响应计划。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tcBorders>
              <w:tl2br w:val="nil"/>
              <w:tr2bl w:val="nil"/>
            </w:tcBorders>
            <w:vAlign w:val="center"/>
          </w:tcPr>
          <w:p>
            <w:pPr>
              <w:pageBreakBefore w:val="0"/>
              <w:widowControl w:val="0"/>
              <w:numPr>
                <w:ilvl w:val="0"/>
                <w:numId w:val="0"/>
              </w:numPr>
              <w:wordWrap/>
              <w:overflowPunct/>
              <w:topLinePunct w:val="0"/>
              <w:bidi w:val="0"/>
              <w:spacing w:before="118" w:line="400" w:lineRule="exact"/>
              <w:ind w:leftChars="0"/>
              <w:jc w:val="center"/>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采购风险</w:t>
            </w:r>
          </w:p>
        </w:tc>
        <w:tc>
          <w:tcPr>
            <w:tcW w:w="3917"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●供应商评估与选择</w:t>
            </w:r>
            <w:r>
              <w:rPr>
                <w:rFonts w:hint="default" w:ascii="方正仿宋_GB2312" w:hAnsi="方正仿宋_GB2312" w:eastAsia="方正仿宋_GB2312" w:cs="方正仿宋_GB2312"/>
                <w:b w:val="0"/>
                <w:bCs w:val="0"/>
                <w:color w:val="000000"/>
                <w:kern w:val="0"/>
                <w:sz w:val="24"/>
                <w:szCs w:val="24"/>
                <w:lang w:val="en-US" w:eastAsia="zh-CN"/>
              </w:rPr>
              <w:t>：通过严格的供应商评审程序来选择和评估供应商。评估标准应包括供应商的财务稳定性、生产能力、质量控制体系、交货期、环境和社会责任等因素。</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签订正式采购合同：与供应商签订正式的采购合同，明确规定产品质量标准、交货时间、价格条款、违约责任等关键条款，以法律形式确保双方的权益。</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多元化供应链：不依赖单一供应商，建立多元化的供应商体系，以降低因供应商出现问题而导致的风险。</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定期的供应商审核和评价：对供应商进行定期的审核和评价，确保供应商持续符合企业的质量和服务要求。对于表现不佳的供应商要及时采取措施，必要时进行更换。</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建立紧急采购计划：针对可能出现的供应中断情况，制定应急采购计划和备选供应商名单，确保关键原材料和产品的供应连续性。</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质量控制与检验：加强对采购产品的质量控制和检验，确保采购物资符合企业和行业的质量标准。采用到货检验、过程监控等手段来确保质量。</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培训采购人员：对采购人员进行专业培训，提升他们的专业知识和风险管理能力，使其更好地识别、评估和应对采购过程中的各种风险。</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使用采购信息系统：利用现代信息技术，如供应链管理软件，来优化采购流程，提高采购效率和透明度，减少人为错误。</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合规与道德采购：确保采购活动符合相关法律法规及企业的道德标准，防止贿赂和腐败行为的发生。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tcBorders>
              <w:tl2br w:val="nil"/>
              <w:tr2bl w:val="nil"/>
            </w:tcBorders>
            <w:vAlign w:val="center"/>
          </w:tcPr>
          <w:p>
            <w:pPr>
              <w:bidi w:val="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合规风险</w:t>
            </w:r>
          </w:p>
        </w:tc>
        <w:tc>
          <w:tcPr>
            <w:tcW w:w="3917"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方正仿宋_GB2312" w:hAnsi="方正仿宋_GB2312" w:eastAsia="方正仿宋_GB2312" w:cs="方正仿宋_GB2312"/>
                <w:b w:val="0"/>
                <w:bCs w:val="0"/>
                <w:color w:val="000000"/>
                <w:kern w:val="0"/>
                <w:sz w:val="24"/>
                <w:szCs w:val="24"/>
                <w:lang w:val="en-US" w:eastAsia="zh-CN"/>
              </w:rPr>
              <w:t>建立合规管理体系</w:t>
            </w:r>
            <w:r>
              <w:rPr>
                <w:rFonts w:hint="default" w:ascii="方正仿宋_GB2312" w:hAnsi="方正仿宋_GB2312" w:eastAsia="方正仿宋_GB2312" w:cs="方正仿宋_GB2312"/>
                <w:b w:val="0"/>
                <w:bCs w:val="0"/>
                <w:color w:val="000000"/>
                <w:kern w:val="0"/>
                <w:sz w:val="24"/>
                <w:szCs w:val="24"/>
                <w:lang w:val="en-US" w:eastAsia="zh-CN"/>
              </w:rPr>
              <w:t>：白酒企业可以建立专门的合规管理部门或团队，负责监督和执行公司的合规政策和程序。</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合规培训与教育：为员工提供合规培训和教育，使他们了解相关法律法规、行业标准和公司政策，以避免违规行为。</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制定合规政策和流程：白酒企业应该建立明确的合规政策和流程，包括内部控制、审计、报告和监督机制，确保员工在日常业务中严格遵守法律法规。</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风险评估和监测：定期进行风险评估，识别潜在的合规风险，并采取必要的措施进行监测和管理。</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供应链管理：对供应链进行审查和管理，确保供应商和合作伙伴的行为符合合规要求，避免因为供应链问题而导致的合规风险。</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合规审计和检查：定期进行内部审计和检查，确保公司的业务运作符合法律法规和内部政策要求。</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建立举报渠道：为员工建立举报渠道，鼓励他们主动报告违规行为，及时发现并处理潜在的合规问题。</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合规沟通和问责制：建立有效的沟通机制，确保公司领导层对合规问题的重视，并建立相应的问责制度，对违反合规规定的个人进行处理和惩罚。</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跟踪法律法规变化：定期跟踪和了解相关法律法规的变化，及时调整公司的合规政策和措施，以确保业务的持续合规。</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与监管机构合作：与监管机构建立良好的合作关系，积极配合监管工作，遵守监管要求，减少因监管问题而带来的合规风险。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tcBorders>
              <w:tl2br w:val="nil"/>
              <w:tr2bl w:val="nil"/>
            </w:tcBorders>
            <w:vAlign w:val="center"/>
          </w:tcPr>
          <w:p>
            <w:pPr>
              <w:bidi w:val="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廉洁风险</w:t>
            </w:r>
          </w:p>
        </w:tc>
        <w:tc>
          <w:tcPr>
            <w:tcW w:w="3917"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●建立健全内部控制系统</w:t>
            </w:r>
            <w:r>
              <w:rPr>
                <w:rFonts w:hint="default" w:ascii="方正仿宋_GB2312" w:hAnsi="方正仿宋_GB2312" w:eastAsia="方正仿宋_GB2312" w:cs="方正仿宋_GB2312"/>
                <w:b w:val="0"/>
                <w:bCs w:val="0"/>
                <w:color w:val="000000"/>
                <w:kern w:val="0"/>
                <w:sz w:val="24"/>
                <w:szCs w:val="24"/>
                <w:lang w:val="en-US" w:eastAsia="zh-CN"/>
              </w:rPr>
              <w:t>：构建一套全面的内部控制体系，包括财务管理、业务操作等方面，确保企业运作的透明度和规范性。</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制定廉洁合规政策：明确制定反腐败和反贿赂政策，对所有员工进行普及，确保他们了解公司的廉洁要求及相关法律法规。</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廉洁教育培训：定期对员工进行廉洁教育和反腐败培训，提高员工的廉洁意识和识别风险的能力。</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明确惩处机制：对违反公司廉洁政策的行为设立严格的惩处机制，公开透明地处理违规事件，以儆效尤。</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建立举报机制：设立匿名举报渠道，鼓励员工、客户和供应商举报不正当行为，保护举报人的隐私和安全。</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进行风险评估：定期对企业的廉洁风险进行评估，识别潜在的腐败和贿赂风险点，制定相应的预防和控制措施。</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加强供应链管理：对供应商和合作伙伴进行廉洁评估，要求他们遵守企业的廉洁标准，并在合同中加入反腐败条款。</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审计监察：加强对关键业务和敏感岗位的审计监察，及时发现和纠正不规范行为，防范廉洁风险。</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领导带头：高层管理者要以身作则，树立良好的廉洁形象，营造一个清廉的企业文化氛围。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tcBorders>
              <w:tl2br w:val="nil"/>
              <w:tr2bl w:val="nil"/>
            </w:tcBorders>
            <w:vAlign w:val="center"/>
          </w:tcPr>
          <w:p>
            <w:pPr>
              <w:bidi w:val="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原材料管理风险</w:t>
            </w:r>
          </w:p>
          <w:bookmarkEnd w:id="63"/>
          <w:p>
            <w:pPr>
              <w:bidi w:val="0"/>
              <w:jc w:val="center"/>
              <w:rPr>
                <w:rFonts w:hint="eastAsia" w:ascii="方正仿宋_GB2312" w:hAnsi="方正仿宋_GB2312" w:eastAsia="方正仿宋_GB2312" w:cs="方正仿宋_GB2312"/>
                <w:lang w:val="en-US" w:eastAsia="zh-CN"/>
              </w:rPr>
            </w:pPr>
          </w:p>
        </w:tc>
        <w:tc>
          <w:tcPr>
            <w:tcW w:w="3917"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bookmarkStart w:id="64" w:name="_Toc5665"/>
            <w:r>
              <w:rPr>
                <w:rFonts w:hint="eastAsia" w:ascii="方正仿宋_GB2312" w:hAnsi="方正仿宋_GB2312" w:eastAsia="方正仿宋_GB2312" w:cs="方正仿宋_GB2312"/>
                <w:b w:val="0"/>
                <w:bCs w:val="0"/>
                <w:color w:val="000000"/>
                <w:kern w:val="0"/>
                <w:sz w:val="24"/>
                <w:szCs w:val="24"/>
                <w:lang w:val="en-US" w:eastAsia="zh-CN"/>
              </w:rPr>
              <w:t>●根据市场需求和生产计划，合理规划粮食的产能。</w:t>
            </w:r>
            <w:bookmarkEnd w:id="64"/>
            <w:bookmarkStart w:id="65" w:name="_Toc16068"/>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●建立灵活的生产体系，能够快速调整包装材料的生产能力。</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●通过优化生产流程、提高设备利用率、合理安排人力资源等方式，实现产能的弹性调整。</w:t>
            </w:r>
            <w:bookmarkEnd w:id="65"/>
            <w:bookmarkStart w:id="66" w:name="_Toc21785"/>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●制定完善的品控标准和流程，确保包装材料质量的稳定性和一致性。对包装材料进行定期的质量检测和评估，及时发现并处理质量问题。</w:t>
            </w:r>
            <w:bookmarkEnd w:id="66"/>
            <w:bookmarkStart w:id="67" w:name="_Toc12965"/>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●对供应商进行严格的筛选和评估，确保其提供的包装材料质量符合要求。建立供应商评价机制，对供应商的质量表现进行定期评估和监督。</w:t>
            </w:r>
            <w:bookmarkEnd w:id="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tcBorders>
              <w:tl2br w:val="nil"/>
              <w:tr2bl w:val="nil"/>
            </w:tcBorders>
            <w:vAlign w:val="center"/>
          </w:tcPr>
          <w:p>
            <w:pPr>
              <w:bidi w:val="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仓储物流风险</w:t>
            </w:r>
          </w:p>
        </w:tc>
        <w:tc>
          <w:tcPr>
            <w:tcW w:w="3917"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eastAsia" w:ascii="方正仿宋_GB2312" w:hAnsi="方正仿宋_GB2312" w:eastAsia="方正仿宋_GB2312" w:cs="方正仿宋_GB2312"/>
                <w:b w:val="0"/>
                <w:bCs w:val="0"/>
                <w:color w:val="000000"/>
                <w:kern w:val="0"/>
                <w:sz w:val="24"/>
                <w:szCs w:val="24"/>
                <w:lang w:val="en-US" w:eastAsia="zh-CN" w:bidi="ar-SA"/>
              </w:rPr>
              <w:t>对原材料（粮食）实行严格的验收政策，并抽检。</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eastAsia" w:ascii="方正仿宋_GB2312" w:hAnsi="方正仿宋_GB2312" w:eastAsia="方正仿宋_GB2312" w:cs="方正仿宋_GB2312"/>
                <w:b w:val="0"/>
                <w:bCs w:val="0"/>
                <w:color w:val="000000"/>
                <w:kern w:val="0"/>
                <w:sz w:val="24"/>
                <w:szCs w:val="24"/>
                <w:lang w:val="en-US" w:eastAsia="zh-CN" w:bidi="ar-SA"/>
              </w:rPr>
              <w:t>保管措施：对原材料（粮食）定期检查通风、蛇虫鼠疫的检查和预防，避免变质、发霉等。</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eastAsia" w:ascii="方正仿宋_GB2312" w:hAnsi="方正仿宋_GB2312" w:eastAsia="方正仿宋_GB2312" w:cs="方正仿宋_GB2312"/>
                <w:b w:val="0"/>
                <w:bCs w:val="0"/>
                <w:color w:val="000000"/>
                <w:kern w:val="0"/>
                <w:sz w:val="24"/>
                <w:szCs w:val="24"/>
                <w:lang w:val="en-US" w:eastAsia="zh-CN" w:bidi="ar-SA"/>
              </w:rPr>
              <w:t>原材料定期盘点，预防丢失、偷盗等行为发生。</w:t>
            </w:r>
          </w:p>
          <w:p>
            <w:pPr>
              <w:pageBreakBefore w:val="0"/>
              <w:widowControl w:val="0"/>
              <w:numPr>
                <w:ilvl w:val="0"/>
                <w:numId w:val="0"/>
              </w:numPr>
              <w:wordWrap/>
              <w:overflowPunct/>
              <w:topLinePunct w:val="0"/>
              <w:bidi w:val="0"/>
              <w:spacing w:before="118" w:line="400" w:lineRule="exact"/>
              <w:ind w:left="0" w:leftChars="0" w:firstLine="0" w:firstLine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eastAsia" w:ascii="方正仿宋_GB2312" w:hAnsi="方正仿宋_GB2312" w:eastAsia="方正仿宋_GB2312" w:cs="方正仿宋_GB2312"/>
                <w:b w:val="0"/>
                <w:bCs w:val="0"/>
                <w:color w:val="000000"/>
                <w:kern w:val="0"/>
                <w:sz w:val="24"/>
                <w:szCs w:val="24"/>
                <w:lang w:val="en-US" w:eastAsia="zh-CN" w:bidi="ar-SA"/>
              </w:rPr>
              <w:t>原材料领用、库存及时更新等。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tcBorders>
              <w:tl2br w:val="nil"/>
              <w:tr2bl w:val="nil"/>
            </w:tcBorders>
            <w:vAlign w:val="center"/>
          </w:tcPr>
          <w:p>
            <w:pPr>
              <w:bidi w:val="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数据闲置</w:t>
            </w:r>
          </w:p>
          <w:p>
            <w:pPr>
              <w:bidi w:val="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数据泄露风险</w:t>
            </w:r>
          </w:p>
        </w:tc>
        <w:tc>
          <w:tcPr>
            <w:tcW w:w="3917"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eastAsia" w:ascii="方正仿宋_GB2312" w:hAnsi="方正仿宋_GB2312" w:eastAsia="方正仿宋_GB2312" w:cs="方正仿宋_GB2312"/>
                <w:b w:val="0"/>
                <w:bCs w:val="0"/>
                <w:color w:val="000000"/>
                <w:kern w:val="0"/>
                <w:sz w:val="24"/>
                <w:szCs w:val="24"/>
                <w:lang w:val="en-US" w:eastAsia="zh-CN" w:bidi="ar-SA"/>
              </w:rPr>
              <w:t>数据加密：对敏感数据进行加密处理，确保数据在传输和存储过程中的安全性。</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bidi="ar-SA"/>
              </w:rPr>
              <w:t>访问控制：实施严格的访问控制策略，确保只有授权人员才能访问敏感数据。</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bidi="ar-SA"/>
              </w:rPr>
              <w:t>定期审计：定期进行数据访问和使用情况的审计，及时发现和解决潜在的安全隐患。</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bidi="ar-SA"/>
              </w:rPr>
              <w:t>数据备份：定期对重要数据进行备份，以防止数据丢失或损坏。</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bidi="ar-SA"/>
              </w:rPr>
              <w:t>安全培训：对员工进行数据保护和网络安全方面的培训，提高他们的安全意识和操作技能。</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bidi="ar-SA"/>
              </w:rPr>
              <w:t>更新维护：及时更新系统和软件，修补安全漏洞，防止黑客攻击。</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bidi="ar-SA"/>
              </w:rPr>
              <w:t>数据生命周期管理：对数据进行分类管理，根据数据的重要性和敏感性制定相应的保护措施，并在数据不再需要时及时进行清理。</w:t>
            </w:r>
          </w:p>
          <w:p>
            <w:pPr>
              <w:pageBreakBefore w:val="0"/>
              <w:widowControl w:val="0"/>
              <w:numPr>
                <w:ilvl w:val="0"/>
                <w:numId w:val="0"/>
              </w:numPr>
              <w:wordWrap/>
              <w:overflowPunct/>
              <w:topLinePunct w:val="0"/>
              <w:bidi w:val="0"/>
              <w:spacing w:before="118" w:line="400" w:lineRule="exact"/>
              <w:ind w:left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bidi="ar-SA"/>
              </w:rPr>
              <w:t>引入专业安全团队：引入专业的安全团队，对企业的数据安全状况进行评估和监控，提供专业的安全解决方案。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2" w:type="pct"/>
            <w:tcBorders>
              <w:tl2br w:val="nil"/>
              <w:tr2bl w:val="nil"/>
            </w:tcBorders>
            <w:vAlign w:val="center"/>
          </w:tcPr>
          <w:p>
            <w:pPr>
              <w:bidi w:val="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水资源污染风险</w:t>
            </w:r>
          </w:p>
          <w:p>
            <w:pPr>
              <w:bidi w:val="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（水质检测、废弃物排放）</w:t>
            </w:r>
          </w:p>
        </w:tc>
        <w:tc>
          <w:tcPr>
            <w:tcW w:w="3917" w:type="pct"/>
            <w:tcBorders>
              <w:tl2br w:val="nil"/>
              <w:tr2bl w:val="nil"/>
            </w:tcBorders>
            <w:vAlign w:val="top"/>
          </w:tcPr>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●加强环保意识培训：提高全员的环保意识，定期对员工进行水资源保护和环境保护相关的培训，确保每位员工都能理解和认识到水资源保护的重要性。</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改进生产工艺：优化和升级生产工艺，减少在生产过程中的水使用量和废水排放量。例如，采用循环水系统，实现水资源的循环利用。</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加强废水处理：建立或优化废水处理设施，确保所有废水在排放前都能达到相关环保标准。采用物理、化学和生物相结合的处理技术，提高废水处理效率。</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实施严格的环境监测：定期对水资源进行质量监测，包括生产过程中使用的水和排放的废水。通过监测数据，及时发现污染问题并采取措施。</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执行环境管理体系：建立和执行ISO 14001等环境管理体系，通过系统化的管理减少对水资源的污染。</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开展环保技术研究：投资环保技术研发，寻找更高效、更环保的生产方法和废水处理技术。</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●与</w:t>
            </w:r>
            <w:r>
              <w:rPr>
                <w:rFonts w:hint="default" w:ascii="方正仿宋_GB2312" w:hAnsi="方正仿宋_GB2312" w:eastAsia="方正仿宋_GB2312" w:cs="方正仿宋_GB2312"/>
                <w:b w:val="0"/>
                <w:bCs w:val="0"/>
                <w:color w:val="auto"/>
                <w:kern w:val="0"/>
                <w:sz w:val="24"/>
                <w:szCs w:val="24"/>
                <w:lang w:val="en-US" w:eastAsia="zh-CN"/>
              </w:rPr>
              <w:t>社区和利益相关者合作：与当地社区、环保组织和政府部门合作，共同关注和保护水资源。参与或支持水资源保护项目，提升企业在社会上的正面形象。</w:t>
            </w:r>
          </w:p>
          <w:p>
            <w:pPr>
              <w:pageBreakBefore w:val="0"/>
              <w:widowControl w:val="0"/>
              <w:numPr>
                <w:ilvl w:val="0"/>
                <w:numId w:val="0"/>
              </w:numPr>
              <w:wordWrap/>
              <w:overflowPunct/>
              <w:topLinePunct w:val="0"/>
              <w:bidi w:val="0"/>
              <w:spacing w:before="118" w:line="400" w:lineRule="exact"/>
              <w:ind w:leftChars="0"/>
              <w:jc w:val="both"/>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应急计划：制定水污染事故应急预案，确保在发生意外污染事件时能够迅速有效地采取应对措施，最小化对水资源的影响。</w:t>
            </w:r>
          </w:p>
        </w:tc>
      </w:tr>
    </w:tbl>
    <w:p>
      <w:pPr>
        <w:rPr>
          <w:rFonts w:hint="default"/>
          <w:lang w:val="en-US" w:eastAsia="zh-CN"/>
        </w:rPr>
      </w:pPr>
      <w:bookmarkStart w:id="68" w:name="_Toc18491"/>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eastAsia" w:ascii="方正公文黑体" w:hAnsi="方正公文黑体" w:eastAsia="方正公文黑体" w:cs="方正公文黑体"/>
          <w:b/>
          <w:bCs/>
          <w:spacing w:val="-4"/>
          <w:sz w:val="24"/>
          <w:szCs w:val="24"/>
          <w:lang w:val="en-US" w:eastAsia="zh-CN"/>
        </w:rPr>
      </w:pPr>
      <w:r>
        <w:rPr>
          <w:rFonts w:hint="eastAsia" w:ascii="方正公文黑体" w:hAnsi="方正公文黑体" w:eastAsia="方正公文黑体" w:cs="方正公文黑体"/>
          <w:b/>
          <w:bCs/>
          <w:spacing w:val="-4"/>
          <w:sz w:val="24"/>
          <w:szCs w:val="24"/>
          <w:lang w:val="en-US" w:eastAsia="zh-CN"/>
        </w:rPr>
        <w:t>实用行动</w:t>
      </w:r>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eastAsia" w:asciiTheme="minorEastAsia" w:hAnsi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●建立健全预警制度，识别警示和风险指标，制定企业遵循的程序。及时制止行动或改进措施，避免风险进一步扩大。</w:t>
      </w:r>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eastAsia" w:asciiTheme="minorEastAsia" w:hAnsi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●对企业员工进行有效培训，警醒风险意识，预防不利影响发生。</w:t>
      </w:r>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eastAsia" w:asciiTheme="minorEastAsia" w:hAnsi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●对有可能促使风险发生或者检测设备落后等情况发生时，要及时进行设施设备升级。</w:t>
      </w:r>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eastAsia" w:asciiTheme="minorEastAsia" w:hAnsi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●对于系统性风险要采取与政府合作、多行业合作、识别有效的现有倡议等手段。</w:t>
      </w:r>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eastAsia" w:asciiTheme="minorEastAsia" w:hAnsi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●对于有风险的业务活动可以采取：改进业务运营、产品或服务，解除业务关系等。</w:t>
      </w:r>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eastAsia" w:asciiTheme="minorEastAsia" w:hAnsi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●将负责任商业行为和尽责管理期望纳入合同，制定与负责任商业行为准则相关的商业激励措施。</w:t>
      </w:r>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default" w:asciiTheme="minorEastAsia" w:hAnsi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●利用影响力改变正在造成不利影响的实体做法。</w:t>
      </w:r>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eastAsia" w:asciiTheme="minorEastAsia" w:hAnsi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●与政府监管者和政策制定部门展开对话与合作，让他们督促改进正在造成损害的实体。</w:t>
      </w:r>
    </w:p>
    <w:p>
      <w:pPr>
        <w:keepNext w:val="0"/>
        <w:keepLines w:val="0"/>
        <w:pageBreakBefore w:val="0"/>
        <w:widowControl w:val="0"/>
        <w:kinsoku/>
        <w:wordWrap/>
        <w:overflowPunct/>
        <w:topLinePunct w:val="0"/>
        <w:autoSpaceDE/>
        <w:autoSpaceDN/>
        <w:bidi w:val="0"/>
        <w:adjustRightInd/>
        <w:snapToGrid/>
        <w:spacing w:line="460" w:lineRule="exact"/>
        <w:ind w:firstLine="464" w:firstLineChars="200"/>
        <w:textAlignment w:val="auto"/>
        <w:rPr>
          <w:rFonts w:hint="default" w:asciiTheme="minorEastAsia" w:hAnsi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●为供应商提供技术/培训/管理升级等方向指导，帮助供应商纠正行动计划。</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rPr>
      </w:pPr>
      <w:bookmarkStart w:id="69" w:name="_Toc10254"/>
      <w:r>
        <w:rPr>
          <w:rFonts w:hint="eastAsia" w:ascii="方正公文黑体" w:hAnsi="方正公文黑体" w:eastAsia="方正公文黑体" w:cs="方正公文黑体"/>
          <w:sz w:val="28"/>
          <w:szCs w:val="28"/>
          <w:lang w:val="en-US" w:eastAsia="zh-CN"/>
        </w:rPr>
        <w:t>5.</w:t>
      </w:r>
      <w:r>
        <w:rPr>
          <w:rFonts w:hint="eastAsia" w:ascii="方正公文黑体" w:hAnsi="方正公文黑体" w:eastAsia="方正公文黑体" w:cs="方正公文黑体"/>
          <w:sz w:val="28"/>
          <w:szCs w:val="28"/>
        </w:rPr>
        <w:t>1.</w:t>
      </w:r>
      <w:r>
        <w:rPr>
          <w:rFonts w:hint="eastAsia" w:ascii="方正公文黑体" w:hAnsi="方正公文黑体" w:eastAsia="方正公文黑体" w:cs="方正公文黑体"/>
          <w:sz w:val="28"/>
          <w:szCs w:val="28"/>
          <w:lang w:val="en-US" w:eastAsia="zh-CN"/>
        </w:rPr>
        <w:t>4</w:t>
      </w:r>
      <w:r>
        <w:rPr>
          <w:rFonts w:hint="eastAsia" w:ascii="方正公文黑体" w:hAnsi="方正公文黑体" w:eastAsia="方正公文黑体" w:cs="方正公文黑体"/>
          <w:sz w:val="28"/>
          <w:szCs w:val="28"/>
        </w:rPr>
        <w:t>跟踪实施情况与结果</w:t>
      </w:r>
      <w:bookmarkEnd w:id="68"/>
      <w:bookmarkEnd w:id="69"/>
    </w:p>
    <w:p>
      <w:pPr>
        <w:keepNext w:val="0"/>
        <w:keepLines w:val="0"/>
        <w:pageBreakBefore w:val="0"/>
        <w:widowControl w:val="0"/>
        <w:kinsoku/>
        <w:wordWrap/>
        <w:overflowPunct/>
        <w:topLinePunct w:val="0"/>
        <w:autoSpaceDE/>
        <w:autoSpaceDN/>
        <w:bidi w:val="0"/>
        <w:adjustRightInd/>
        <w:snapToGrid/>
        <w:spacing w:line="460" w:lineRule="exact"/>
        <w:ind w:firstLine="640"/>
        <w:textAlignment w:val="auto"/>
        <w:rPr>
          <w:rFonts w:hint="default" w:asciiTheme="minorEastAsia" w:hAnsiTheme="minorEastAsia" w:eastAsiaTheme="minorEastAsia" w:cstheme="minorEastAsia"/>
          <w:b w:val="0"/>
          <w:bCs w:val="0"/>
          <w:spacing w:val="-4"/>
          <w:sz w:val="24"/>
          <w:szCs w:val="24"/>
          <w:lang w:val="en-US" w:eastAsia="zh-CN"/>
        </w:rPr>
      </w:pPr>
      <w:r>
        <w:rPr>
          <w:rFonts w:hint="eastAsia" w:asciiTheme="minorEastAsia" w:hAnsiTheme="minorEastAsia" w:cstheme="minorEastAsia"/>
          <w:b w:val="0"/>
          <w:bCs w:val="0"/>
          <w:spacing w:val="-4"/>
          <w:sz w:val="24"/>
          <w:szCs w:val="24"/>
          <w:lang w:val="en-US" w:eastAsia="zh-CN"/>
        </w:rPr>
        <w:t>跟踪企业尽责管理活动的实施情况与有效性，即企业识别、防范、减轻与酌情支持补救不利影响的措施，包括与业务关系共同开展的活动。进而利用从跟踪中吸取的教训，在未来改善这些过程。</w:t>
      </w:r>
    </w:p>
    <w:p>
      <w:pPr>
        <w:keepNext w:val="0"/>
        <w:keepLines w:val="0"/>
        <w:pageBreakBefore w:val="0"/>
        <w:widowControl w:val="0"/>
        <w:kinsoku/>
        <w:wordWrap/>
        <w:overflowPunct/>
        <w:topLinePunct w:val="0"/>
        <w:autoSpaceDE/>
        <w:autoSpaceDN/>
        <w:bidi w:val="0"/>
        <w:adjustRightInd/>
        <w:snapToGrid/>
        <w:spacing w:line="460" w:lineRule="exact"/>
        <w:ind w:firstLine="640"/>
        <w:textAlignment w:val="auto"/>
        <w:rPr>
          <w:rFonts w:hint="default" w:asciiTheme="minorEastAsia" w:hAnsiTheme="minorEastAsia" w:eastAsiaTheme="minorEastAsia" w:cstheme="minorEastAsia"/>
          <w:b/>
          <w:bCs/>
          <w:spacing w:val="-4"/>
          <w:sz w:val="24"/>
          <w:szCs w:val="24"/>
          <w:lang w:val="en-US" w:eastAsia="zh-CN"/>
        </w:rPr>
      </w:pPr>
      <w:r>
        <w:rPr>
          <w:sz w:val="24"/>
        </w:rPr>
        <mc:AlternateContent>
          <mc:Choice Requires="wps">
            <w:drawing>
              <wp:anchor distT="0" distB="0" distL="114300" distR="114300" simplePos="0" relativeHeight="251666432" behindDoc="0" locked="0" layoutInCell="1" allowOverlap="1">
                <wp:simplePos x="0" y="0"/>
                <wp:positionH relativeFrom="column">
                  <wp:posOffset>303530</wp:posOffset>
                </wp:positionH>
                <wp:positionV relativeFrom="paragraph">
                  <wp:posOffset>160020</wp:posOffset>
                </wp:positionV>
                <wp:extent cx="5262245" cy="0"/>
                <wp:effectExtent l="15875" t="15875" r="0" b="22225"/>
                <wp:wrapNone/>
                <wp:docPr id="11" name="直接连接符 11"/>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3.9pt;margin-top:12.6pt;height:0pt;width:414.35pt;z-index:251666432;mso-width-relative:page;mso-height-relative:page;" filled="f" stroked="t" coordsize="21600,21600" o:gfxdata="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mfUQdQAAAAIAQAADwAAAAAAAAABACAA&#10;AAAiAAAAZHJzL2Rvd25yZXYueG1sUEsBAhQAFAAAAAgAh07iQApuxc3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ind w:firstLine="480" w:firstLineChars="200"/>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pPr>
      <w:r>
        <w:rPr>
          <w:rFonts w:hint="eastAsia" w:ascii="微软雅黑" w:hAnsi="微软雅黑" w:eastAsia="微软雅黑" w:cs="微软雅黑"/>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t>重要提示：内审和第三方评估是跟踪监测风险的良好方法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val="0"/>
        <w:wordWrap/>
        <w:overflowPunct/>
        <w:topLinePunct w:val="0"/>
        <w:autoSpaceDE w:val="0"/>
        <w:autoSpaceDN w:val="0"/>
        <w:bidi w:val="0"/>
        <w:adjustRightInd w:val="0"/>
        <w:snapToGrid w:val="0"/>
        <w:spacing w:before="0" w:beforeAutospacing="0" w:after="0" w:afterAutospacing="0" w:line="400" w:lineRule="exact"/>
        <w:ind w:left="0" w:right="0" w:firstLine="480" w:firstLineChars="200"/>
        <w:jc w:val="both"/>
        <w:textAlignment w:val="baseline"/>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白酒企业为了确保产品质量和品牌声誉，采用了内审和第三方评估相结合的方式，对供应链风险、原材料质量、服务等方面进行了跟踪监测。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val="0"/>
        <w:wordWrap/>
        <w:overflowPunct/>
        <w:topLinePunct w:val="0"/>
        <w:autoSpaceDE w:val="0"/>
        <w:autoSpaceDN w:val="0"/>
        <w:bidi w:val="0"/>
        <w:adjustRightInd w:val="0"/>
        <w:snapToGrid w:val="0"/>
        <w:spacing w:before="0" w:beforeAutospacing="0" w:after="0" w:afterAutospacing="0" w:line="400" w:lineRule="exact"/>
        <w:ind w:left="0" w:right="0" w:firstLine="480" w:firstLineChars="200"/>
        <w:jc w:val="both"/>
        <w:textAlignment w:val="baseline"/>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1.供应链风险跟踪监测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val="0"/>
        <w:wordWrap/>
        <w:overflowPunct/>
        <w:topLinePunct w:val="0"/>
        <w:autoSpaceDE w:val="0"/>
        <w:autoSpaceDN w:val="0"/>
        <w:bidi w:val="0"/>
        <w:adjustRightInd w:val="0"/>
        <w:snapToGrid w:val="0"/>
        <w:spacing w:before="0" w:beforeAutospacing="0" w:after="0" w:afterAutospacing="0" w:line="400" w:lineRule="exact"/>
        <w:ind w:left="0" w:right="0" w:firstLine="480" w:firstLineChars="200"/>
        <w:jc w:val="both"/>
        <w:textAlignment w:val="baseline"/>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企业通过内审部门对供应链进行定期审计，评估供应商的财务状况、生产能力、产品质量等方面的稳定性。同时，引入第三方评估机构对供应商进行综合评估，确保供应商的可靠性和可持续性。通过这种方式，企业能够及时发现供应链中的潜在风险，并采取相应的措施进行预防和控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val="0"/>
        <w:wordWrap/>
        <w:overflowPunct/>
        <w:topLinePunct w:val="0"/>
        <w:autoSpaceDE w:val="0"/>
        <w:autoSpaceDN w:val="0"/>
        <w:bidi w:val="0"/>
        <w:adjustRightInd w:val="0"/>
        <w:snapToGrid w:val="0"/>
        <w:spacing w:before="0" w:beforeAutospacing="0" w:after="0" w:afterAutospacing="0" w:line="400" w:lineRule="exact"/>
        <w:ind w:left="0" w:right="0" w:firstLine="480" w:firstLineChars="200"/>
        <w:jc w:val="both"/>
        <w:textAlignment w:val="baseline"/>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2.原材料质量跟踪监测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val="0"/>
        <w:wordWrap/>
        <w:overflowPunct/>
        <w:topLinePunct w:val="0"/>
        <w:autoSpaceDE w:val="0"/>
        <w:autoSpaceDN w:val="0"/>
        <w:bidi w:val="0"/>
        <w:adjustRightInd w:val="0"/>
        <w:snapToGrid w:val="0"/>
        <w:spacing w:before="0" w:beforeAutospacing="0" w:after="0" w:afterAutospacing="0" w:line="400" w:lineRule="exact"/>
        <w:ind w:left="0" w:right="0" w:firstLine="480" w:firstLineChars="200"/>
        <w:jc w:val="both"/>
        <w:textAlignment w:val="baseline"/>
        <w:rPr>
          <w:rFonts w:hint="eastAsia" w:ascii="方正仿宋_GB2312" w:hAnsi="方正仿宋_GB2312" w:eastAsia="方正仿宋_GB2312" w:cs="方正仿宋_GB2312"/>
          <w:b w:val="0"/>
          <w:bCs w:val="0"/>
          <w:color w:val="FF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为了确保原材料的质量，该企业与第三方评估机构合作，对供应商的原材料进行定期的检验和评估。通过对原材料的质量进行持续跟踪监测，企业能够及时发现潜在的问题，并采取相应的措施进行改进，确保原材料的质量符合要求。</w:t>
      </w:r>
    </w:p>
    <w:p>
      <w:pPr>
        <w:rPr>
          <w:rFonts w:hint="eastAsia" w:ascii="方正公文黑体" w:hAnsi="方正公文黑体" w:eastAsia="方正公文黑体" w:cs="方正公文黑体"/>
          <w:sz w:val="28"/>
          <w:szCs w:val="28"/>
          <w:lang w:val="en-US" w:eastAsia="zh-CN"/>
        </w:rPr>
      </w:pPr>
      <w:r>
        <w:rPr>
          <w:sz w:val="24"/>
        </w:rPr>
        <mc:AlternateContent>
          <mc:Choice Requires="wps">
            <w:drawing>
              <wp:anchor distT="0" distB="0" distL="114300" distR="114300" simplePos="0" relativeHeight="251667456" behindDoc="0" locked="0" layoutInCell="1" allowOverlap="1">
                <wp:simplePos x="0" y="0"/>
                <wp:positionH relativeFrom="column">
                  <wp:posOffset>327025</wp:posOffset>
                </wp:positionH>
                <wp:positionV relativeFrom="paragraph">
                  <wp:posOffset>157480</wp:posOffset>
                </wp:positionV>
                <wp:extent cx="5262245" cy="0"/>
                <wp:effectExtent l="15875" t="15875" r="0" b="22225"/>
                <wp:wrapNone/>
                <wp:docPr id="12" name="直接连接符 12"/>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75pt;margin-top:12.4pt;height:0pt;width:414.35pt;z-index:251667456;mso-width-relative:page;mso-height-relative:page;" filled="f" stroked="t" coordsize="21600,21600" o:gfxdata="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f7BS29QAAAAIAQAADwAAAAAAAAABACAA&#10;AAAiAAAAZHJzL2Rvd25yZXYueG1sUEsBAhQAFAAAAAgAh07iQPlU727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before="40" w:line="440" w:lineRule="exact"/>
        <w:ind w:left="0" w:right="0" w:firstLine="464" w:firstLineChars="200"/>
        <w:jc w:val="both"/>
        <w:textAlignment w:val="auto"/>
        <w:rPr>
          <w:rFonts w:hint="eastAsia" w:asciiTheme="minorEastAsia" w:hAnsiTheme="minorEastAsia" w:eastAsiaTheme="minorEastAsia" w:cstheme="minorEastAsia"/>
          <w:spacing w:val="-6"/>
          <w:sz w:val="24"/>
          <w:szCs w:val="24"/>
        </w:rPr>
      </w:pPr>
      <w:r>
        <w:rPr>
          <w:rFonts w:hint="eastAsia" w:asciiTheme="minorEastAsia" w:hAnsiTheme="minorEastAsia" w:eastAsiaTheme="minorEastAsia" w:cstheme="minorEastAsia"/>
          <w:spacing w:val="-4"/>
          <w:sz w:val="24"/>
          <w:szCs w:val="24"/>
        </w:rPr>
        <w:t>与</w:t>
      </w:r>
      <w:r>
        <w:rPr>
          <w:rFonts w:hint="eastAsia" w:asciiTheme="minorEastAsia" w:hAnsiTheme="minorEastAsia" w:cstheme="minorEastAsia"/>
          <w:spacing w:val="-4"/>
          <w:sz w:val="24"/>
          <w:szCs w:val="24"/>
          <w:lang w:val="en-US" w:eastAsia="zh-CN"/>
        </w:rPr>
        <w:t>遇到</w:t>
      </w:r>
      <w:r>
        <w:rPr>
          <w:rFonts w:hint="eastAsia" w:asciiTheme="minorEastAsia" w:hAnsiTheme="minorEastAsia" w:eastAsiaTheme="minorEastAsia" w:cstheme="minorEastAsia"/>
          <w:spacing w:val="-4"/>
          <w:sz w:val="24"/>
          <w:szCs w:val="24"/>
        </w:rPr>
        <w:t>到</w:t>
      </w:r>
      <w:r>
        <w:rPr>
          <w:rFonts w:hint="eastAsia" w:asciiTheme="minorEastAsia" w:hAnsiTheme="minorEastAsia" w:cstheme="minorEastAsia"/>
          <w:spacing w:val="-4"/>
          <w:sz w:val="24"/>
          <w:szCs w:val="24"/>
          <w:lang w:eastAsia="zh-CN"/>
        </w:rPr>
        <w:t>风险</w:t>
      </w:r>
      <w:r>
        <w:rPr>
          <w:rFonts w:hint="eastAsia" w:asciiTheme="minorEastAsia" w:hAnsiTheme="minorEastAsia" w:cstheme="minorEastAsia"/>
          <w:spacing w:val="-4"/>
          <w:sz w:val="24"/>
          <w:szCs w:val="24"/>
          <w:lang w:val="en-US" w:eastAsia="zh-CN"/>
        </w:rPr>
        <w:t>的</w:t>
      </w:r>
      <w:r>
        <w:rPr>
          <w:rFonts w:hint="eastAsia" w:asciiTheme="minorEastAsia" w:hAnsiTheme="minorEastAsia" w:eastAsiaTheme="minorEastAsia" w:cstheme="minorEastAsia"/>
          <w:spacing w:val="-4"/>
          <w:sz w:val="24"/>
          <w:szCs w:val="24"/>
          <w:lang w:eastAsia="zh-CN"/>
        </w:rPr>
        <w:t>供应商</w:t>
      </w:r>
      <w:r>
        <w:rPr>
          <w:rFonts w:hint="eastAsia" w:asciiTheme="minorEastAsia" w:hAnsiTheme="minorEastAsia" w:eastAsiaTheme="minorEastAsia" w:cstheme="minorEastAsia"/>
          <w:spacing w:val="-4"/>
          <w:sz w:val="24"/>
          <w:szCs w:val="24"/>
        </w:rPr>
        <w:t>后续交流至关重要，这既是监控企业的风险防控措</w:t>
      </w:r>
      <w:r>
        <w:rPr>
          <w:rFonts w:hint="eastAsia" w:asciiTheme="minorEastAsia" w:hAnsiTheme="minorEastAsia" w:eastAsiaTheme="minorEastAsia" w:cstheme="minorEastAsia"/>
          <w:spacing w:val="-3"/>
          <w:sz w:val="24"/>
          <w:szCs w:val="24"/>
        </w:rPr>
        <w:t>施是否生效的关键方式，也是企业改进风险防控措施的必要手段。企</w:t>
      </w:r>
      <w:r>
        <w:rPr>
          <w:rFonts w:hint="eastAsia" w:asciiTheme="minorEastAsia" w:hAnsiTheme="minorEastAsia" w:eastAsiaTheme="minorEastAsia" w:cstheme="minorEastAsia"/>
          <w:spacing w:val="-4"/>
          <w:sz w:val="24"/>
          <w:szCs w:val="24"/>
        </w:rPr>
        <w:t>业可以成立</w:t>
      </w:r>
      <w:r>
        <w:rPr>
          <w:rFonts w:hint="eastAsia" w:asciiTheme="minorEastAsia" w:hAnsiTheme="minorEastAsia" w:eastAsiaTheme="minorEastAsia" w:cstheme="minorEastAsia"/>
          <w:spacing w:val="-3"/>
          <w:sz w:val="24"/>
          <w:szCs w:val="24"/>
        </w:rPr>
        <w:t>不同的工作小组对不同风险领域进行跟踪，例如在</w:t>
      </w:r>
      <w:r>
        <w:rPr>
          <w:rFonts w:hint="eastAsia" w:asciiTheme="minorEastAsia" w:hAnsiTheme="minorEastAsia" w:eastAsiaTheme="minorEastAsia" w:cstheme="minorEastAsia"/>
          <w:spacing w:val="-3"/>
          <w:sz w:val="24"/>
          <w:szCs w:val="24"/>
          <w:lang w:eastAsia="zh-CN"/>
        </w:rPr>
        <w:t>廉洁领域</w:t>
      </w:r>
      <w:r>
        <w:rPr>
          <w:rFonts w:hint="eastAsia" w:asciiTheme="minorEastAsia" w:hAnsiTheme="minorEastAsia" w:eastAsiaTheme="minorEastAsia" w:cstheme="minorEastAsia"/>
          <w:spacing w:val="-3"/>
          <w:sz w:val="24"/>
          <w:szCs w:val="24"/>
        </w:rPr>
        <w:t>可以成立</w:t>
      </w:r>
      <w:r>
        <w:rPr>
          <w:rFonts w:hint="eastAsia" w:asciiTheme="minorEastAsia" w:hAnsiTheme="minorEastAsia" w:eastAsiaTheme="minorEastAsia" w:cstheme="minorEastAsia"/>
          <w:spacing w:val="-4"/>
          <w:sz w:val="24"/>
          <w:szCs w:val="24"/>
          <w:lang w:eastAsia="zh-CN"/>
        </w:rPr>
        <w:t>防腐败</w:t>
      </w:r>
      <w:r>
        <w:rPr>
          <w:rFonts w:hint="eastAsia" w:asciiTheme="minorEastAsia" w:hAnsiTheme="minorEastAsia" w:eastAsiaTheme="minorEastAsia" w:cstheme="minorEastAsia"/>
          <w:spacing w:val="-4"/>
          <w:sz w:val="24"/>
          <w:szCs w:val="24"/>
        </w:rPr>
        <w:t>工</w:t>
      </w:r>
      <w:r>
        <w:rPr>
          <w:rFonts w:hint="eastAsia" w:asciiTheme="minorEastAsia" w:hAnsiTheme="minorEastAsia" w:eastAsiaTheme="minorEastAsia" w:cstheme="minorEastAsia"/>
          <w:spacing w:val="-3"/>
          <w:sz w:val="24"/>
          <w:szCs w:val="24"/>
        </w:rPr>
        <w:t>作小组，在</w:t>
      </w:r>
      <w:r>
        <w:rPr>
          <w:rFonts w:hint="eastAsia" w:asciiTheme="minorEastAsia" w:hAnsiTheme="minorEastAsia" w:eastAsiaTheme="minorEastAsia" w:cstheme="minorEastAsia"/>
          <w:spacing w:val="-3"/>
          <w:sz w:val="24"/>
          <w:szCs w:val="24"/>
          <w:lang w:eastAsia="zh-CN"/>
        </w:rPr>
        <w:t>水领域成立水资源</w:t>
      </w:r>
      <w:r>
        <w:rPr>
          <w:rFonts w:hint="eastAsia" w:asciiTheme="minorEastAsia" w:hAnsiTheme="minorEastAsia" w:eastAsiaTheme="minorEastAsia" w:cstheme="minorEastAsia"/>
          <w:spacing w:val="-3"/>
          <w:sz w:val="24"/>
          <w:szCs w:val="24"/>
        </w:rPr>
        <w:t>监测小组。同时，企业应尽可能监</w:t>
      </w:r>
      <w:r>
        <w:rPr>
          <w:rFonts w:hint="eastAsia" w:asciiTheme="minorEastAsia" w:hAnsiTheme="minorEastAsia" w:eastAsiaTheme="minorEastAsia" w:cstheme="minorEastAsia"/>
          <w:spacing w:val="-4"/>
          <w:sz w:val="24"/>
          <w:szCs w:val="24"/>
        </w:rPr>
        <w:t>测定量指标</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（如采用问卷形式</w:t>
      </w:r>
      <w:r>
        <w:rPr>
          <w:rFonts w:hint="eastAsia" w:asciiTheme="minorEastAsia" w:hAnsiTheme="minorEastAsia" w:eastAsiaTheme="minorEastAsia" w:cstheme="minorEastAsia"/>
          <w:spacing w:val="-39"/>
          <w:sz w:val="24"/>
          <w:szCs w:val="24"/>
        </w:rPr>
        <w:t>），</w:t>
      </w:r>
      <w:r>
        <w:rPr>
          <w:rFonts w:hint="eastAsia" w:asciiTheme="minorEastAsia" w:hAnsiTheme="minorEastAsia" w:eastAsiaTheme="minorEastAsia" w:cstheme="minorEastAsia"/>
          <w:spacing w:val="-1"/>
          <w:sz w:val="24"/>
          <w:szCs w:val="24"/>
        </w:rPr>
        <w:t>证明自身采取的行动有利于防范与减轻自身运营中发生的</w:t>
      </w:r>
      <w:r>
        <w:rPr>
          <w:rFonts w:hint="eastAsia" w:asciiTheme="minorEastAsia" w:hAnsiTheme="minorEastAsia" w:eastAsiaTheme="minorEastAsia" w:cstheme="minorEastAsia"/>
          <w:spacing w:val="-6"/>
          <w:sz w:val="24"/>
          <w:szCs w:val="24"/>
        </w:rPr>
        <w:t>损害。</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center"/>
        <w:textAlignment w:val="auto"/>
        <w:rPr>
          <w:rFonts w:hint="default" w:ascii="方正仿宋_GB2312" w:hAnsi="方正仿宋_GB2312" w:eastAsia="方正仿宋_GB2312" w:cs="方正仿宋_GB2312"/>
          <w:b w:val="0"/>
          <w:bCs w:val="0"/>
          <w:i w:val="0"/>
          <w:iCs w:val="0"/>
          <w:color w:val="000000"/>
          <w:kern w:val="0"/>
          <w:sz w:val="24"/>
          <w:szCs w:val="24"/>
          <w:highlight w:val="none"/>
          <w:lang w:val="en-US" w:eastAsia="zh-CN" w:bidi="ar-SA"/>
        </w:rPr>
      </w:pPr>
      <w:bookmarkStart w:id="70" w:name="_Toc6615"/>
      <w:r>
        <w:rPr>
          <w:rFonts w:hint="eastAsia" w:ascii="方正仿宋_GB2312" w:hAnsi="方正仿宋_GB2312" w:eastAsia="方正仿宋_GB2312" w:cs="方正仿宋_GB2312"/>
          <w:b w:val="0"/>
          <w:bCs w:val="0"/>
          <w:color w:val="000000"/>
          <w:kern w:val="0"/>
          <w:sz w:val="24"/>
          <w:szCs w:val="24"/>
          <w:lang w:val="en-US" w:eastAsia="zh-CN" w:bidi="ar-SA"/>
        </w:rPr>
        <w:t>表5-</w:t>
      </w:r>
      <w:bookmarkEnd w:id="70"/>
      <w:r>
        <w:rPr>
          <w:rFonts w:hint="eastAsia" w:ascii="方正仿宋_GB2312" w:hAnsi="方正仿宋_GB2312" w:eastAsia="方正仿宋_GB2312" w:cs="方正仿宋_GB2312"/>
          <w:b w:val="0"/>
          <w:bCs w:val="0"/>
          <w:color w:val="000000"/>
          <w:kern w:val="0"/>
          <w:sz w:val="24"/>
          <w:szCs w:val="24"/>
          <w:lang w:val="en-US" w:eastAsia="zh-CN" w:bidi="ar-SA"/>
        </w:rPr>
        <w:t>3重点风险领域企业跟踪方法</w:t>
      </w: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示例</w:t>
      </w:r>
    </w:p>
    <w:tbl>
      <w:tblPr>
        <w:tblStyle w:val="8"/>
        <w:tblW w:w="48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2"/>
        <w:gridCol w:w="6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tcBorders>
              <w:tl2br w:val="nil"/>
              <w:tr2bl w:val="nil"/>
            </w:tcBorders>
          </w:tcPr>
          <w:p>
            <w:pPr>
              <w:pageBreakBefore w:val="0"/>
              <w:numPr>
                <w:ilvl w:val="0"/>
                <w:numId w:val="0"/>
              </w:numPr>
              <w:wordWrap/>
              <w:overflowPunct/>
              <w:topLinePunct w:val="0"/>
              <w:bidi w:val="0"/>
              <w:spacing w:before="203" w:line="400" w:lineRule="exact"/>
              <w:ind w:leftChars="0" w:right="13" w:rightChars="0"/>
              <w:jc w:val="center"/>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风险领域</w:t>
            </w:r>
          </w:p>
        </w:tc>
        <w:tc>
          <w:tcPr>
            <w:tcW w:w="6988" w:type="dxa"/>
            <w:tcBorders>
              <w:tl2br w:val="nil"/>
              <w:tr2bl w:val="nil"/>
            </w:tcBorders>
          </w:tcPr>
          <w:p>
            <w:pPr>
              <w:pageBreakBefore w:val="0"/>
              <w:numPr>
                <w:ilvl w:val="0"/>
                <w:numId w:val="0"/>
              </w:numPr>
              <w:wordWrap/>
              <w:overflowPunct/>
              <w:topLinePunct w:val="0"/>
              <w:bidi w:val="0"/>
              <w:spacing w:before="203" w:line="400" w:lineRule="exact"/>
              <w:ind w:leftChars="0" w:right="13" w:rightChars="0"/>
              <w:jc w:val="center"/>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企业跟踪实施方法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tcBorders>
              <w:tl2br w:val="nil"/>
              <w:tr2bl w:val="nil"/>
            </w:tcBorders>
            <w:vAlign w:val="center"/>
          </w:tcPr>
          <w:p>
            <w:pPr>
              <w:pageBreakBefore w:val="0"/>
              <w:numPr>
                <w:ilvl w:val="0"/>
                <w:numId w:val="0"/>
              </w:numPr>
              <w:wordWrap/>
              <w:overflowPunct/>
              <w:topLinePunct w:val="0"/>
              <w:bidi w:val="0"/>
              <w:spacing w:before="203" w:line="400" w:lineRule="exact"/>
              <w:ind w:leftChars="0" w:right="13" w:rightChars="0"/>
              <w:jc w:val="center"/>
              <w:rPr>
                <w:rFonts w:hint="default"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t>种植和土壤风险</w:t>
            </w:r>
          </w:p>
        </w:tc>
        <w:tc>
          <w:tcPr>
            <w:tcW w:w="6988" w:type="dxa"/>
            <w:tcBorders>
              <w:tl2br w:val="nil"/>
              <w:tr2bl w:val="nil"/>
            </w:tcBorders>
          </w:tcPr>
          <w:p>
            <w:pPr>
              <w:pageBreakBefore w:val="0"/>
              <w:numPr>
                <w:ilvl w:val="0"/>
                <w:numId w:val="0"/>
              </w:numPr>
              <w:wordWrap/>
              <w:overflowPunct/>
              <w:topLinePunct w:val="0"/>
              <w:bidi w:val="0"/>
              <w:spacing w:before="203" w:line="400" w:lineRule="exact"/>
              <w:ind w:leftChars="0" w:right="13" w:rightChars="0"/>
              <w:jc w:val="left"/>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●建立风险监测系统</w:t>
            </w:r>
            <w:r>
              <w:rPr>
                <w:rFonts w:hint="default" w:ascii="方正仿宋_GB2312" w:hAnsi="方正仿宋_GB2312" w:eastAsia="方正仿宋_GB2312" w:cs="方正仿宋_GB2312"/>
                <w:b w:val="0"/>
                <w:bCs w:val="0"/>
                <w:color w:val="000000"/>
                <w:kern w:val="0"/>
                <w:sz w:val="24"/>
                <w:szCs w:val="24"/>
                <w:lang w:val="en-US" w:eastAsia="zh-CN" w:bidi="ar-SA"/>
              </w:rPr>
              <w:t>：利用先进的信息技术建立全面的风险监测系统，这包括土壤质量、气候变化、病虫害发生等数据的实时收集和分析。</w:t>
            </w:r>
          </w:p>
          <w:p>
            <w:pPr>
              <w:pageBreakBefore w:val="0"/>
              <w:numPr>
                <w:ilvl w:val="0"/>
                <w:numId w:val="0"/>
              </w:numPr>
              <w:wordWrap/>
              <w:overflowPunct/>
              <w:topLinePunct w:val="0"/>
              <w:bidi w:val="0"/>
              <w:spacing w:before="203" w:line="400" w:lineRule="exact"/>
              <w:ind w:leftChars="0" w:right="13" w:rightChars="0"/>
              <w:jc w:val="left"/>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w:t>
            </w:r>
            <w:r>
              <w:rPr>
                <w:rFonts w:hint="default" w:ascii="方正仿宋_GB2312" w:hAnsi="方正仿宋_GB2312" w:eastAsia="方正仿宋_GB2312" w:cs="方正仿宋_GB2312"/>
                <w:b w:val="0"/>
                <w:bCs w:val="0"/>
                <w:color w:val="000000"/>
                <w:kern w:val="0"/>
                <w:sz w:val="24"/>
                <w:szCs w:val="24"/>
                <w:lang w:val="en-US" w:eastAsia="zh-CN" w:bidi="ar-SA"/>
              </w:rPr>
              <w:t>土壤质量分析：定期对种植区域的土壤进行采样和质量分析，监测土壤的pH值、有机质含量、重金属含量等指标，评估土壤健康状况。</w:t>
            </w:r>
          </w:p>
          <w:p>
            <w:pPr>
              <w:pageBreakBefore w:val="0"/>
              <w:numPr>
                <w:ilvl w:val="0"/>
                <w:numId w:val="0"/>
              </w:numPr>
              <w:wordWrap/>
              <w:overflowPunct/>
              <w:topLinePunct w:val="0"/>
              <w:bidi w:val="0"/>
              <w:spacing w:before="203" w:line="400" w:lineRule="exact"/>
              <w:ind w:leftChars="0" w:right="13" w:rightChars="0"/>
              <w:jc w:val="left"/>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w:t>
            </w:r>
            <w:r>
              <w:rPr>
                <w:rFonts w:hint="default" w:ascii="方正仿宋_GB2312" w:hAnsi="方正仿宋_GB2312" w:eastAsia="方正仿宋_GB2312" w:cs="方正仿宋_GB2312"/>
                <w:b w:val="0"/>
                <w:bCs w:val="0"/>
                <w:color w:val="000000"/>
                <w:kern w:val="0"/>
                <w:sz w:val="24"/>
                <w:szCs w:val="24"/>
                <w:lang w:val="en-US" w:eastAsia="zh-CN" w:bidi="ar-SA"/>
              </w:rPr>
              <w:t>遥感技术应用：应用遥感技术和卫星影像来监控农田的植被生长情况、土壤湿度等，以便及时发现异常变化。</w:t>
            </w:r>
          </w:p>
          <w:p>
            <w:pPr>
              <w:pageBreakBefore w:val="0"/>
              <w:numPr>
                <w:ilvl w:val="0"/>
                <w:numId w:val="0"/>
              </w:numPr>
              <w:wordWrap/>
              <w:overflowPunct/>
              <w:topLinePunct w:val="0"/>
              <w:bidi w:val="0"/>
              <w:spacing w:before="203" w:line="400" w:lineRule="exact"/>
              <w:ind w:leftChars="0" w:right="13" w:rightChars="0"/>
              <w:jc w:val="left"/>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w:t>
            </w:r>
            <w:r>
              <w:rPr>
                <w:rFonts w:hint="default" w:ascii="方正仿宋_GB2312" w:hAnsi="方正仿宋_GB2312" w:eastAsia="方正仿宋_GB2312" w:cs="方正仿宋_GB2312"/>
                <w:b w:val="0"/>
                <w:bCs w:val="0"/>
                <w:color w:val="000000"/>
                <w:kern w:val="0"/>
                <w:sz w:val="24"/>
                <w:szCs w:val="24"/>
                <w:lang w:val="en-US" w:eastAsia="zh-CN" w:bidi="ar-SA"/>
              </w:rPr>
              <w:t>物联网(IoT)技术：部署土壤湿度、温度传感器等IoT设备，实时监测种植环境，通过数据分析预测可能的风险和病害。</w:t>
            </w:r>
          </w:p>
          <w:p>
            <w:pPr>
              <w:pageBreakBefore w:val="0"/>
              <w:numPr>
                <w:ilvl w:val="0"/>
                <w:numId w:val="0"/>
              </w:numPr>
              <w:wordWrap/>
              <w:overflowPunct/>
              <w:topLinePunct w:val="0"/>
              <w:bidi w:val="0"/>
              <w:spacing w:before="203" w:line="400" w:lineRule="exact"/>
              <w:ind w:leftChars="0" w:right="13" w:rightChars="0"/>
              <w:jc w:val="left"/>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w:t>
            </w:r>
            <w:r>
              <w:rPr>
                <w:rFonts w:hint="default" w:ascii="方正仿宋_GB2312" w:hAnsi="方正仿宋_GB2312" w:eastAsia="方正仿宋_GB2312" w:cs="方正仿宋_GB2312"/>
                <w:b w:val="0"/>
                <w:bCs w:val="0"/>
                <w:color w:val="000000"/>
                <w:kern w:val="0"/>
                <w:sz w:val="24"/>
                <w:szCs w:val="24"/>
                <w:lang w:val="en-US" w:eastAsia="zh-CN" w:bidi="ar-SA"/>
              </w:rPr>
              <w:t>病虫害管理：建立病虫害监控和预警系统，及时发现并处理病虫害问题，减少对作物的影响。</w:t>
            </w:r>
          </w:p>
          <w:p>
            <w:pPr>
              <w:pageBreakBefore w:val="0"/>
              <w:numPr>
                <w:ilvl w:val="0"/>
                <w:numId w:val="0"/>
              </w:numPr>
              <w:wordWrap/>
              <w:overflowPunct/>
              <w:topLinePunct w:val="0"/>
              <w:bidi w:val="0"/>
              <w:spacing w:before="203" w:line="400" w:lineRule="exact"/>
              <w:ind w:leftChars="0" w:right="13" w:rightChars="0"/>
              <w:jc w:val="left"/>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bidi="ar-SA"/>
              </w:rPr>
              <w:t>●</w:t>
            </w:r>
            <w:r>
              <w:rPr>
                <w:rFonts w:hint="default" w:ascii="方正仿宋_GB2312" w:hAnsi="方正仿宋_GB2312" w:eastAsia="方正仿宋_GB2312" w:cs="方正仿宋_GB2312"/>
                <w:b w:val="0"/>
                <w:bCs w:val="0"/>
                <w:color w:val="000000"/>
                <w:kern w:val="0"/>
                <w:sz w:val="24"/>
                <w:szCs w:val="24"/>
                <w:lang w:val="en-US" w:eastAsia="zh-CN" w:bidi="ar-SA"/>
              </w:rPr>
              <w:t>农艺技术指导：提供专业的农艺技术指导和支持</w:t>
            </w:r>
            <w:r>
              <w:rPr>
                <w:rFonts w:hint="eastAsia" w:ascii="方正仿宋_GB2312" w:hAnsi="方正仿宋_GB2312" w:eastAsia="方正仿宋_GB2312" w:cs="方正仿宋_GB2312"/>
                <w:b w:val="0"/>
                <w:bCs w:val="0"/>
                <w:color w:val="000000"/>
                <w:kern w:val="0"/>
                <w:sz w:val="24"/>
                <w:szCs w:val="24"/>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tcBorders>
              <w:tl2br w:val="nil"/>
              <w:tr2bl w:val="nil"/>
            </w:tcBorders>
            <w:vAlign w:val="center"/>
          </w:tcPr>
          <w:p>
            <w:pPr>
              <w:pageBreakBefore w:val="0"/>
              <w:numPr>
                <w:ilvl w:val="0"/>
                <w:numId w:val="0"/>
              </w:numPr>
              <w:wordWrap/>
              <w:overflowPunct/>
              <w:topLinePunct w:val="0"/>
              <w:bidi w:val="0"/>
              <w:spacing w:before="203" w:line="400" w:lineRule="exact"/>
              <w:ind w:left="0" w:leftChars="0" w:right="13" w:rightChars="0" w:firstLine="0" w:firstLineChars="0"/>
              <w:jc w:val="cente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t>采购风险</w:t>
            </w:r>
          </w:p>
        </w:tc>
        <w:tc>
          <w:tcPr>
            <w:tcW w:w="6988" w:type="dxa"/>
            <w:tcBorders>
              <w:tl2br w:val="nil"/>
              <w:tr2bl w:val="nil"/>
            </w:tcBorders>
            <w:vAlign w:val="top"/>
          </w:tcPr>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建立综合的风险评估体系：定期进行供应链风险评估，包括市场风险、供应商风险、质量风险、物流风险等，以识别潜在的风险点。</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供应商管理：</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1.</w:t>
            </w:r>
            <w:r>
              <w:rPr>
                <w:rFonts w:hint="default" w:ascii="方正仿宋_GB2312" w:hAnsi="方正仿宋_GB2312" w:eastAsia="方正仿宋_GB2312" w:cs="方正仿宋_GB2312"/>
                <w:b w:val="0"/>
                <w:bCs w:val="0"/>
                <w:color w:val="auto"/>
                <w:kern w:val="0"/>
                <w:sz w:val="24"/>
                <w:szCs w:val="24"/>
                <w:lang w:val="en-US" w:eastAsia="zh-CN"/>
              </w:rPr>
              <w:t>供应商选择与评估：通过严格的供应商审查流程，选择符合质量、可靠性和合规性要求的供应商。</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2.</w:t>
            </w:r>
            <w:r>
              <w:rPr>
                <w:rFonts w:hint="default" w:ascii="方正仿宋_GB2312" w:hAnsi="方正仿宋_GB2312" w:eastAsia="方正仿宋_GB2312" w:cs="方正仿宋_GB2312"/>
                <w:b w:val="0"/>
                <w:bCs w:val="0"/>
                <w:color w:val="auto"/>
                <w:kern w:val="0"/>
                <w:sz w:val="24"/>
                <w:szCs w:val="24"/>
                <w:lang w:val="en-US" w:eastAsia="zh-CN"/>
              </w:rPr>
              <w:t>供应商多元化：避免对单一供应商的过度依赖，通过建立多元化的供应商网络来分散风险。</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3.</w:t>
            </w:r>
            <w:r>
              <w:rPr>
                <w:rFonts w:hint="default" w:ascii="方正仿宋_GB2312" w:hAnsi="方正仿宋_GB2312" w:eastAsia="方正仿宋_GB2312" w:cs="方正仿宋_GB2312"/>
                <w:b w:val="0"/>
                <w:bCs w:val="0"/>
                <w:color w:val="auto"/>
                <w:kern w:val="0"/>
                <w:sz w:val="24"/>
                <w:szCs w:val="24"/>
                <w:lang w:val="en-US" w:eastAsia="zh-CN"/>
              </w:rPr>
              <w:t>建立长期合作关系：与关键供应商建立稳固的合作伙伴关系，共同应对供应链中的风险。</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合同管理：在采购合同中明确规定质量标准、交货期限、价格波动条款以及风险分担机制，确保合同能够有效地保护企业利益并降低风险。</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库存管理策略：通过适当的库存策略（如安全库存、最小/最大库存水平）来应对供应中断和需求波动的风险。</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供应链可视化：利用供应链管理系统提高供应链的透明度，实时监控供应链状态，快速响应潜在的供应中断和风险。</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风险预警机制：建立风险预警系统，通过数据分析和市场趋势监测，及时识别并通报潜在的风险，以便快速采取应对措施。</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应急计划和响应策略：制定详细的应急响应计划，包括备选供应商、替代产品和临时物流安排等，以确保在面临风险时能够迅速恢复正常运作。</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持续改进与学习：通过定期的回顾和分析采购风险事件，总结经验教训，不断优化风险管理流程和策略。</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跨部门协作：加强内部部门之间的沟通和协作，确保从采购到生产、销售等各个环节都能有效参与到风险管理中来。</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法律和合规性审查：确保所有采购活动都遵守相关法律法规和行业标准，减少法律和合规风险。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tcBorders>
              <w:tl2br w:val="nil"/>
              <w:tr2bl w:val="nil"/>
            </w:tcBorders>
            <w:vAlign w:val="center"/>
          </w:tcPr>
          <w:p>
            <w:pPr>
              <w:pageBreakBefore w:val="0"/>
              <w:numPr>
                <w:ilvl w:val="0"/>
                <w:numId w:val="0"/>
              </w:numPr>
              <w:wordWrap/>
              <w:overflowPunct/>
              <w:topLinePunct w:val="0"/>
              <w:bidi w:val="0"/>
              <w:spacing w:before="203" w:line="400" w:lineRule="exact"/>
              <w:ind w:left="0" w:leftChars="0" w:right="13" w:rightChars="0" w:firstLine="0" w:firstLineChars="0"/>
              <w:jc w:val="cente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t>合规风险</w:t>
            </w:r>
          </w:p>
        </w:tc>
        <w:tc>
          <w:tcPr>
            <w:tcW w:w="6988" w:type="dxa"/>
            <w:tcBorders>
              <w:tl2br w:val="nil"/>
              <w:tr2bl w:val="nil"/>
            </w:tcBorders>
            <w:vAlign w:val="top"/>
          </w:tcPr>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合规文化建设：树立全员合规意识，从企业高层到基层员工，都要明确合规是企业可持续发展的重要保障。通过培训、会议等形式，加强合规文化的传播和教育。</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合规制度建立：制定详细的合规管理制度和操作流程，包括但不限于质量安全、环保、税务、反垄断等方面，确保企业在各个层面和环节都能遵守相关法律法规。</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合规风险评估：定期进行合规风险评估，识别和评估企业运营过程中可能面临的合规风险，包括内部控制系统的漏洞、法律法规变更的影响等，以便及时调整合规策略。</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合规监督检查：建立有效的合规监督机制，包括内部审计、合规巡检等，对企业的合规情况进行定期或不定期的检查，确保合规制度的执行力。</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合规问题处理：对于在合规监督检查中发现的问题，要及时采取措施进行整改，严格执行问题整改和追责制度，避免同类问题再次发生。</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外部法律顾问：合作外部法律顾问或合规顾问，对企业的合规管理提供专业意见和支持，特别是在处理复杂的法律问题和跨国经营时，外部专业力量的加入尤为重要。</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信息技术支持：利用信息技术手段，如合规管理软件，来提高合规工作的效率和效果。这些技术可以帮助企业更好地管理和跟踪合规相关的数据，实现合规风险的早期预警。</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持续改进与培训：将合规管理视为一个持续改进的过程，定期对员工进行合规培训，更新合规知识和技能，确保企业能够适应不断变化的法律法规环境。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tcBorders>
              <w:tl2br w:val="nil"/>
              <w:tr2bl w:val="nil"/>
            </w:tcBorders>
            <w:vAlign w:val="center"/>
          </w:tcPr>
          <w:p>
            <w:pPr>
              <w:pageBreakBefore w:val="0"/>
              <w:numPr>
                <w:ilvl w:val="0"/>
                <w:numId w:val="0"/>
              </w:numPr>
              <w:wordWrap/>
              <w:overflowPunct/>
              <w:topLinePunct w:val="0"/>
              <w:bidi w:val="0"/>
              <w:spacing w:before="203" w:line="400" w:lineRule="exact"/>
              <w:ind w:left="0" w:leftChars="0" w:right="13" w:rightChars="0" w:firstLine="0" w:firstLineChars="0"/>
              <w:jc w:val="cente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t>原材料管理风险</w:t>
            </w:r>
          </w:p>
        </w:tc>
        <w:tc>
          <w:tcPr>
            <w:tcW w:w="6988" w:type="dxa"/>
            <w:tcBorders>
              <w:tl2br w:val="nil"/>
              <w:tr2bl w:val="nil"/>
            </w:tcBorders>
            <w:vAlign w:val="top"/>
          </w:tcPr>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供应商管理：</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1.</w:t>
            </w:r>
            <w:r>
              <w:rPr>
                <w:rFonts w:hint="default" w:ascii="方正仿宋_GB2312" w:hAnsi="方正仿宋_GB2312" w:eastAsia="方正仿宋_GB2312" w:cs="方正仿宋_GB2312"/>
                <w:b w:val="0"/>
                <w:bCs w:val="0"/>
                <w:color w:val="auto"/>
                <w:kern w:val="0"/>
                <w:sz w:val="24"/>
                <w:szCs w:val="24"/>
                <w:lang w:val="en-US" w:eastAsia="zh-CN"/>
              </w:rPr>
              <w:t>供应商选择与评估：建立严格的供应商选择标准，通过质量、信誉、交货能力、价格等多方面评估，选择最佳供应商。</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2.</w:t>
            </w:r>
            <w:r>
              <w:rPr>
                <w:rFonts w:hint="default" w:ascii="方正仿宋_GB2312" w:hAnsi="方正仿宋_GB2312" w:eastAsia="方正仿宋_GB2312" w:cs="方正仿宋_GB2312"/>
                <w:b w:val="0"/>
                <w:bCs w:val="0"/>
                <w:color w:val="auto"/>
                <w:kern w:val="0"/>
                <w:sz w:val="24"/>
                <w:szCs w:val="24"/>
                <w:lang w:val="en-US" w:eastAsia="zh-CN"/>
              </w:rPr>
              <w:t>供应商多元化：避免对单一供应商的依赖，通过建立多元化的供应商体系，分散采购风险。</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3.</w:t>
            </w:r>
            <w:r>
              <w:rPr>
                <w:rFonts w:hint="default" w:ascii="方正仿宋_GB2312" w:hAnsi="方正仿宋_GB2312" w:eastAsia="方正仿宋_GB2312" w:cs="方正仿宋_GB2312"/>
                <w:b w:val="0"/>
                <w:bCs w:val="0"/>
                <w:color w:val="auto"/>
                <w:kern w:val="0"/>
                <w:sz w:val="24"/>
                <w:szCs w:val="24"/>
                <w:lang w:val="en-US" w:eastAsia="zh-CN"/>
              </w:rPr>
              <w:t>长期合作关系：与优质供应商建立长期稳定的合作关系，通过合同约定供货量、价格等，降低突发事件的风险。</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原材料质量控制：</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1.</w:t>
            </w:r>
            <w:r>
              <w:rPr>
                <w:rFonts w:hint="default" w:ascii="方正仿宋_GB2312" w:hAnsi="方正仿宋_GB2312" w:eastAsia="方正仿宋_GB2312" w:cs="方正仿宋_GB2312"/>
                <w:b w:val="0"/>
                <w:bCs w:val="0"/>
                <w:color w:val="auto"/>
                <w:kern w:val="0"/>
                <w:sz w:val="24"/>
                <w:szCs w:val="24"/>
                <w:lang w:val="en-US" w:eastAsia="zh-CN"/>
              </w:rPr>
              <w:t>入厂检验：对所有入厂原材料进行严格的质量检验，确保原材料符合生产标准和要求。</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2.</w:t>
            </w:r>
            <w:r>
              <w:rPr>
                <w:rFonts w:hint="default" w:ascii="方正仿宋_GB2312" w:hAnsi="方正仿宋_GB2312" w:eastAsia="方正仿宋_GB2312" w:cs="方正仿宋_GB2312"/>
                <w:b w:val="0"/>
                <w:bCs w:val="0"/>
                <w:color w:val="auto"/>
                <w:kern w:val="0"/>
                <w:sz w:val="24"/>
                <w:szCs w:val="24"/>
                <w:lang w:val="en-US" w:eastAsia="zh-CN"/>
              </w:rPr>
              <w:t>过程控制：在原材料储存、使用过程中实施严格的质量管理，防止原材料受到污染或劣变。</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3.</w:t>
            </w:r>
            <w:r>
              <w:rPr>
                <w:rFonts w:hint="default" w:ascii="方正仿宋_GB2312" w:hAnsi="方正仿宋_GB2312" w:eastAsia="方正仿宋_GB2312" w:cs="方正仿宋_GB2312"/>
                <w:b w:val="0"/>
                <w:bCs w:val="0"/>
                <w:color w:val="auto"/>
                <w:kern w:val="0"/>
                <w:sz w:val="24"/>
                <w:szCs w:val="24"/>
                <w:lang w:val="en-US" w:eastAsia="zh-CN"/>
              </w:rPr>
              <w:t>追溯体系：建立完善的原材料追溯体系，一旦发现质量问题，能够迅速追溯到相关批次和供应商。</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价格风险管理：</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1.</w:t>
            </w:r>
            <w:r>
              <w:rPr>
                <w:rFonts w:hint="default" w:ascii="方正仿宋_GB2312" w:hAnsi="方正仿宋_GB2312" w:eastAsia="方正仿宋_GB2312" w:cs="方正仿宋_GB2312"/>
                <w:b w:val="0"/>
                <w:bCs w:val="0"/>
                <w:color w:val="auto"/>
                <w:kern w:val="0"/>
                <w:sz w:val="24"/>
                <w:szCs w:val="24"/>
                <w:lang w:val="en-US" w:eastAsia="zh-CN"/>
              </w:rPr>
              <w:t>长期合同：通过签订长期采购合同锁定原材料价格，减少市场价格波动的影响。</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2.</w:t>
            </w:r>
            <w:r>
              <w:rPr>
                <w:rFonts w:hint="default" w:ascii="方正仿宋_GB2312" w:hAnsi="方正仿宋_GB2312" w:eastAsia="方正仿宋_GB2312" w:cs="方正仿宋_GB2312"/>
                <w:b w:val="0"/>
                <w:bCs w:val="0"/>
                <w:color w:val="auto"/>
                <w:kern w:val="0"/>
                <w:sz w:val="24"/>
                <w:szCs w:val="24"/>
                <w:lang w:val="en-US" w:eastAsia="zh-CN"/>
              </w:rPr>
              <w:t>期货工具：利用期货市场对冲原材料价格风险，特别是对于主要原材料价格波动较大的情况。</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3.</w:t>
            </w:r>
            <w:r>
              <w:rPr>
                <w:rFonts w:hint="default" w:ascii="方正仿宋_GB2312" w:hAnsi="方正仿宋_GB2312" w:eastAsia="方正仿宋_GB2312" w:cs="方正仿宋_GB2312"/>
                <w:b w:val="0"/>
                <w:bCs w:val="0"/>
                <w:color w:val="auto"/>
                <w:kern w:val="0"/>
                <w:sz w:val="24"/>
                <w:szCs w:val="24"/>
                <w:lang w:val="en-US" w:eastAsia="zh-CN"/>
              </w:rPr>
              <w:t>库存管理：通过科学的库存管理，适时调整库存水平，既可以保障生产需求，又可以避免因市场价格波动造成的成本增加。</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供应链管理：</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1.</w:t>
            </w:r>
            <w:r>
              <w:rPr>
                <w:rFonts w:hint="default" w:ascii="方正仿宋_GB2312" w:hAnsi="方正仿宋_GB2312" w:eastAsia="方正仿宋_GB2312" w:cs="方正仿宋_GB2312"/>
                <w:b w:val="0"/>
                <w:bCs w:val="0"/>
                <w:color w:val="auto"/>
                <w:kern w:val="0"/>
                <w:sz w:val="24"/>
                <w:szCs w:val="24"/>
                <w:lang w:val="en-US" w:eastAsia="zh-CN"/>
              </w:rPr>
              <w:t>供应链整合：通过供应链整合，优化供应链管理流程，提高效率和响应速度。</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2.</w:t>
            </w:r>
            <w:r>
              <w:rPr>
                <w:rFonts w:hint="default" w:ascii="方正仿宋_GB2312" w:hAnsi="方正仿宋_GB2312" w:eastAsia="方正仿宋_GB2312" w:cs="方正仿宋_GB2312"/>
                <w:b w:val="0"/>
                <w:bCs w:val="0"/>
                <w:color w:val="auto"/>
                <w:kern w:val="0"/>
                <w:sz w:val="24"/>
                <w:szCs w:val="24"/>
                <w:lang w:val="en-US" w:eastAsia="zh-CN"/>
              </w:rPr>
              <w:t>信息共享：与供应商建立信息共享机制，及时了解供应商的生产和供货情况，预测和应对可能的供应中断风险。</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3.</w:t>
            </w:r>
            <w:r>
              <w:rPr>
                <w:rFonts w:hint="default" w:ascii="方正仿宋_GB2312" w:hAnsi="方正仿宋_GB2312" w:eastAsia="方正仿宋_GB2312" w:cs="方正仿宋_GB2312"/>
                <w:b w:val="0"/>
                <w:bCs w:val="0"/>
                <w:color w:val="auto"/>
                <w:kern w:val="0"/>
                <w:sz w:val="24"/>
                <w:szCs w:val="24"/>
                <w:lang w:val="en-US" w:eastAsia="zh-CN"/>
              </w:rPr>
              <w:t>应急计划：制定原材料供应中断的应急预案，包括备选供应商列表、紧急采购流程等，确保在供应中断时能够迅速响应，减少对生产的影响。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tcBorders>
              <w:tl2br w:val="nil"/>
              <w:tr2bl w:val="nil"/>
            </w:tcBorders>
            <w:vAlign w:val="center"/>
          </w:tcPr>
          <w:p>
            <w:pPr>
              <w:pageBreakBefore w:val="0"/>
              <w:numPr>
                <w:ilvl w:val="0"/>
                <w:numId w:val="0"/>
              </w:numPr>
              <w:wordWrap/>
              <w:overflowPunct/>
              <w:topLinePunct w:val="0"/>
              <w:bidi w:val="0"/>
              <w:spacing w:before="203" w:line="400" w:lineRule="exact"/>
              <w:ind w:left="0" w:leftChars="0" w:right="13" w:rightChars="0" w:firstLine="0" w:firstLineChars="0"/>
              <w:jc w:val="cente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t>廉洁风险</w:t>
            </w:r>
          </w:p>
        </w:tc>
        <w:tc>
          <w:tcPr>
            <w:tcW w:w="6988" w:type="dxa"/>
            <w:tcBorders>
              <w:tl2br w:val="nil"/>
              <w:tr2bl w:val="nil"/>
            </w:tcBorders>
            <w:vAlign w:val="top"/>
          </w:tcPr>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建立健全的内控制度：企业应建立和完善内部控制体系，确保各项业务流程的合规性和透明度。这包括财务审计、业务审查以及决策过程的监督，确保所有操作都在可控范围内并可追溯。</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制定严格的廉洁准则：企业需要制定一套详尽的职业道德和廉洁从业规范，明确禁止任何形式的贿赂、腐败和不正当利益交换行为，并对违反规定的行为设定严格的惩罚措施。</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廉洁风险评估：定期进行廉洁风险评估，识别潜在的风险点和脆弱环节。通过风险评估，企业可以更好地了解哪些业务或流程最容易受到廉洁风险的影响，并据此调整内部控制措施。</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培训和教育：对员工进行廉洁教育和反腐败培训，提高他们的法律意识和职业道德水平。通过教育和培训，可以有效提升员工对廉洁风险的认识和防范能力。</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透明度和公开性：提高企业运营的透明度，比如公开招标和采购过程，确保信息公开透明，让外部监督机制发挥作用，从而降低腐败行为的发生率。</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鼓励内部举报：建立有效的内部举报机制，鼓励员工举报违规和不正当行为。同时，保护举报人的安全和隐私，避免他们因举报受到任何形式的报复。</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合规审查和合作伙伴筛选：在选择供应商和合作伙伴时，进行严格的背景审查，确保他们也遵循高标准的廉洁准则。与那些有不良记录的企业保持距离，避免因关联而受牵连。</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定期审计和监督：定期对企业的财务和业务操作进行审计，以发现潜在的不规范行为。同时，加强对重点领域和环节的监督管理，确保整个组织的廉洁性。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数据泄露</w:t>
            </w:r>
          </w:p>
          <w:p>
            <w:pPr>
              <w:pageBreakBefore w:val="0"/>
              <w:numPr>
                <w:ilvl w:val="0"/>
                <w:numId w:val="0"/>
              </w:numPr>
              <w:wordWrap/>
              <w:overflowPunct/>
              <w:topLinePunct w:val="0"/>
              <w:bidi w:val="0"/>
              <w:spacing w:before="203" w:line="400" w:lineRule="exact"/>
              <w:ind w:left="0" w:leftChars="0" w:right="13" w:rightChars="0" w:firstLine="0" w:firstLineChars="0"/>
              <w:jc w:val="cente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数据资产闲置风险</w:t>
            </w:r>
          </w:p>
        </w:tc>
        <w:tc>
          <w:tcPr>
            <w:tcW w:w="6988" w:type="dxa"/>
            <w:tcBorders>
              <w:tl2br w:val="nil"/>
              <w:tr2bl w:val="nil"/>
            </w:tcBorders>
            <w:vAlign w:val="top"/>
          </w:tcPr>
          <w:p>
            <w:pPr>
              <w:pageBreakBefore w:val="0"/>
              <w:numPr>
                <w:ilvl w:val="0"/>
                <w:numId w:val="0"/>
              </w:numPr>
              <w:wordWrap/>
              <w:overflowPunct/>
              <w:topLinePunct w:val="0"/>
              <w:bidi w:val="0"/>
              <w:spacing w:before="203" w:line="400" w:lineRule="exact"/>
              <w:ind w:left="0" w:leftChars="0" w:right="13" w:rightChars="0" w:firstLine="0" w:firstLine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●制定数据安全政策</w:t>
            </w:r>
            <w:r>
              <w:rPr>
                <w:rFonts w:hint="default" w:ascii="方正仿宋_GB2312" w:hAnsi="方正仿宋_GB2312" w:eastAsia="方正仿宋_GB2312" w:cs="方正仿宋_GB2312"/>
                <w:b w:val="0"/>
                <w:bCs w:val="0"/>
                <w:color w:val="auto"/>
                <w:kern w:val="0"/>
                <w:sz w:val="24"/>
                <w:szCs w:val="24"/>
                <w:lang w:val="en-US" w:eastAsia="zh-CN"/>
              </w:rPr>
              <w:t>：企业首先需要制定一套全面的数据安全政策，明确数据管理的标准和流程，包括数据的收集、存储、处理、传输和销毁等各个环节的安全要求。</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数据访问控制：实施严格的数据访问控制机制，确保只有授权人员才能访问敏感数据。采用用户身份认证、权限管理等技术手段限制数据访问。</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数据加密：对存储和传输的数据进行加密处理，即使数据被非法获取，也无法直接读取数据内容，从而降低数据泄露的风险。</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定期数据安全审计：定期进行数据安全审计和风险评估，识别数据管理过程中的潜在风险点，及时采取补救措施。</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数据泄露监测和预警系统：部署数据泄露监测和预警系统，通过实时监控网络流量、异常行为分析等技术手段，快速发现和响应数据泄露事件。</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数据资产清理和管理：定期审查和清理无用或过时的数据资产，减少数据闲置，同时优化数据存储结构，提高数据资产的利用效率。</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员工培训和意识提升：定期对员工进行数据安全意识培训，提升全员的数据保护意识，确保员工在日常工作中遵守数据安全规范。</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应急响应计划：制定数据泄露应急响应计划，明确数据泄露发生后的应对流程和责任人，确保在数据泄露事件发生时能够迅速采取措施，降低损失。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tcBorders>
              <w:tl2br w:val="nil"/>
              <w:tr2bl w:val="nil"/>
            </w:tcBorders>
            <w:vAlign w:val="center"/>
          </w:tcPr>
          <w:p>
            <w:pPr>
              <w:pageBreakBefore w:val="0"/>
              <w:numPr>
                <w:ilvl w:val="0"/>
                <w:numId w:val="0"/>
              </w:numPr>
              <w:wordWrap/>
              <w:overflowPunct/>
              <w:topLinePunct w:val="0"/>
              <w:bidi w:val="0"/>
              <w:spacing w:before="203" w:line="400" w:lineRule="exact"/>
              <w:ind w:leftChars="0" w:right="13" w:rightChars="0"/>
              <w:jc w:val="center"/>
              <w:rPr>
                <w:rFonts w:hint="eastAsia" w:ascii="方正仿宋_GB2312" w:hAnsi="方正仿宋_GB2312" w:eastAsia="方正仿宋_GB2312" w:cs="方正仿宋_GB2312"/>
                <w:b/>
                <w:bCs/>
                <w:color w:val="000000" w:themeColor="text1"/>
                <w:kern w:val="0"/>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b/>
                <w:bCs/>
                <w:color w:val="000000" w:themeColor="text1"/>
                <w:kern w:val="0"/>
                <w:sz w:val="24"/>
                <w:szCs w:val="24"/>
                <w:lang w:val="en-US" w:eastAsia="zh-CN" w:bidi="ar-SA"/>
                <w14:textFill>
                  <w14:solidFill>
                    <w14:schemeClr w14:val="tx1"/>
                  </w14:solidFill>
                </w14:textFill>
              </w:rPr>
              <w:t>水资源污染风险</w:t>
            </w:r>
          </w:p>
          <w:p>
            <w:pPr>
              <w:pageBreakBefore w:val="0"/>
              <w:numPr>
                <w:ilvl w:val="0"/>
                <w:numId w:val="0"/>
              </w:numPr>
              <w:wordWrap/>
              <w:overflowPunct/>
              <w:topLinePunct w:val="0"/>
              <w:bidi w:val="0"/>
              <w:spacing w:before="203" w:line="400" w:lineRule="exact"/>
              <w:ind w:left="0" w:leftChars="0" w:right="13" w:rightChars="0" w:firstLine="0" w:firstLineChars="0"/>
              <w:jc w:val="cente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bidi="ar-SA"/>
                <w14:textFill>
                  <w14:solidFill>
                    <w14:schemeClr w14:val="tx1"/>
                  </w14:solidFill>
                </w14:textFill>
              </w:rPr>
              <w:t>（废弃物排放、水质监测）</w:t>
            </w:r>
          </w:p>
        </w:tc>
        <w:tc>
          <w:tcPr>
            <w:tcW w:w="6988" w:type="dxa"/>
            <w:tcBorders>
              <w:tl2br w:val="nil"/>
              <w:tr2bl w:val="nil"/>
            </w:tcBorders>
            <w:vAlign w:val="top"/>
          </w:tcPr>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环境影响评估：在项目启动前，进行全面的环境影响评估，特别是对水资源的影响，包括原材料的生产、加工过程对水质和水量的影响评估。</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建立监测系统：在关键的水源地和排放点建立水质监测站，实时监控水质变化，包括重金属含量、有害物质残留等指标。</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污水处理和回收技术：投资高效的污水处理和回收系统，确保废水在排放前达到或优于当地环保标准。同时，探索废水回收再利用的可能性，减少对新鲜水资源的依赖。</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制定应急计划：为可能发生的水资源污染事故制定应急预案，包括污染控制、污染物质追踪、受影响区域的通知和保护措施等。</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生态补偿和修复：对因企业活动而受损的水资源和生态环境，采取补偿和修复措施，如种植水生植物、恢复湿地等自然净化系统。</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员工和合作伙伴培训：定期对员工和合作伙伴进行环保和水资源保护的培训，提高他们对水资源污染风险的认识和应对能力。</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环保法规遵守：严格遵守国家和地方关于水资源保护的法律法规，包括排放标准、许可证管理等要求。</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公众参与和透明度：通过公开企业的水资源管理信息、参与社区水资源保护项目等方式，提高公众参与度和企业透明度，建立良好的企业形象。</w:t>
            </w:r>
          </w:p>
          <w:p>
            <w:pPr>
              <w:pageBreakBefore w:val="0"/>
              <w:numPr>
                <w:ilvl w:val="0"/>
                <w:numId w:val="0"/>
              </w:numPr>
              <w:wordWrap/>
              <w:overflowPunct/>
              <w:topLinePunct w:val="0"/>
              <w:bidi w:val="0"/>
              <w:spacing w:before="203" w:line="400" w:lineRule="exact"/>
              <w:ind w:left="0" w:leftChars="0" w:right="13" w:rightChars="0" w:firstLine="0" w:firstLineChars="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持续改进和创新：持续追踪最新的环保技术和管理方法，创新水资源管理和保护措施，提高水资源的可持续利用水平。</w:t>
            </w:r>
          </w:p>
        </w:tc>
      </w:tr>
    </w:tbl>
    <w:p>
      <w:pPr>
        <w:keepNext w:val="0"/>
        <w:keepLines w:val="0"/>
        <w:pageBreakBefore w:val="0"/>
        <w:widowControl w:val="0"/>
        <w:kinsoku/>
        <w:wordWrap/>
        <w:overflowPunct/>
        <w:topLinePunct w:val="0"/>
        <w:autoSpaceDE/>
        <w:autoSpaceDN/>
        <w:bidi w:val="0"/>
        <w:adjustRightInd/>
        <w:snapToGrid/>
        <w:spacing w:before="236" w:line="400" w:lineRule="exact"/>
        <w:ind w:right="680" w:firstLine="460" w:firstLineChars="200"/>
        <w:jc w:val="both"/>
        <w:textAlignment w:val="auto"/>
        <w:rPr>
          <w:rFonts w:hint="eastAsia" w:asciiTheme="minorEastAsia" w:hAnsiTheme="minorEastAsia" w:eastAsiaTheme="minorEastAsia" w:cstheme="minorEastAsia"/>
          <w:spacing w:val="-5"/>
          <w:sz w:val="24"/>
          <w:szCs w:val="24"/>
          <w:lang w:val="en-US" w:eastAsia="en-US"/>
          <w14:textOutline w14:w="4358" w14:cap="sq" w14:cmpd="sng">
            <w14:solidFill>
              <w14:srgbClr w14:val="000000"/>
            </w14:solidFill>
            <w14:prstDash w14:val="solid"/>
            <w14:bevel/>
          </w14:textOutline>
        </w:rPr>
      </w:pPr>
      <w:bookmarkStart w:id="71" w:name="_Toc16105"/>
      <w:r>
        <w:rPr>
          <w:rFonts w:hint="eastAsia" w:asciiTheme="minorEastAsia" w:hAnsiTheme="minorEastAsia" w:eastAsiaTheme="minorEastAsia" w:cstheme="minorEastAsia"/>
          <w:spacing w:val="-5"/>
          <w:sz w:val="24"/>
          <w:szCs w:val="24"/>
          <w:lang w:val="en-US" w:eastAsia="en-US"/>
          <w14:textOutline w14:w="4358" w14:cap="sq" w14:cmpd="sng">
            <w14:solidFill>
              <w14:srgbClr w14:val="000000"/>
            </w14:solidFill>
            <w14:prstDash w14:val="solid"/>
            <w14:bevel/>
          </w14:textOutline>
        </w:rPr>
        <w:t>实用行动</w:t>
      </w:r>
    </w:p>
    <w:p>
      <w:pPr>
        <w:keepNext w:val="0"/>
        <w:keepLines w:val="0"/>
        <w:pageBreakBefore w:val="0"/>
        <w:widowControl w:val="0"/>
        <w:numPr>
          <w:ilvl w:val="0"/>
          <w:numId w:val="0"/>
        </w:numPr>
        <w:kinsoku/>
        <w:wordWrap/>
        <w:overflowPunct/>
        <w:topLinePunct w:val="0"/>
        <w:autoSpaceDE/>
        <w:autoSpaceDN/>
        <w:bidi w:val="0"/>
        <w:adjustRightInd/>
        <w:snapToGrid/>
        <w:spacing w:before="40" w:line="440" w:lineRule="exact"/>
        <w:ind w:leftChars="0" w:right="0" w:rightChars="0" w:firstLine="480" w:firstLineChars="200"/>
        <w:jc w:val="both"/>
        <w:textAlignment w:val="auto"/>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spacing w:val="-4"/>
          <w:sz w:val="24"/>
          <w:szCs w:val="24"/>
          <w:lang w:val="en-US" w:eastAsia="zh-CN"/>
        </w:rPr>
        <w:t>向相关高级管理人员分配职责，让其负责确保造成或助长</w:t>
      </w:r>
      <w:r>
        <w:rPr>
          <w:rFonts w:hint="eastAsia" w:asciiTheme="minorEastAsia" w:hAnsiTheme="minorEastAsia" w:cstheme="minorEastAsia"/>
          <w:spacing w:val="-4"/>
          <w:sz w:val="24"/>
          <w:szCs w:val="24"/>
          <w:lang w:val="en-US" w:eastAsia="zh-CN"/>
        </w:rPr>
        <w:t>风险</w:t>
      </w:r>
      <w:r>
        <w:rPr>
          <w:rFonts w:hint="eastAsia" w:asciiTheme="minorEastAsia" w:hAnsiTheme="minorEastAsia" w:eastAsiaTheme="minorEastAsia" w:cstheme="minorEastAsia"/>
          <w:spacing w:val="-4"/>
          <w:sz w:val="24"/>
          <w:szCs w:val="24"/>
          <w:lang w:val="en-US" w:eastAsia="zh-CN"/>
        </w:rPr>
        <w:t>的活动终止，并防范开展未来可能造成或助长</w:t>
      </w:r>
      <w:r>
        <w:rPr>
          <w:rFonts w:hint="eastAsia" w:asciiTheme="minorEastAsia" w:hAnsiTheme="minorEastAsia" w:cstheme="minorEastAsia"/>
          <w:spacing w:val="-4"/>
          <w:sz w:val="24"/>
          <w:szCs w:val="24"/>
          <w:lang w:val="en-US" w:eastAsia="zh-CN"/>
        </w:rPr>
        <w:t>风险</w:t>
      </w:r>
      <w:r>
        <w:rPr>
          <w:rFonts w:hint="eastAsia" w:asciiTheme="minorEastAsia" w:hAnsiTheme="minorEastAsia" w:eastAsiaTheme="minorEastAsia" w:cstheme="minorEastAsia"/>
          <w:spacing w:val="-4"/>
          <w:sz w:val="24"/>
          <w:szCs w:val="24"/>
          <w:lang w:val="en-US" w:eastAsia="zh-CN"/>
        </w:rPr>
        <w:t xml:space="preserve">的活动。 </w:t>
      </w:r>
    </w:p>
    <w:p>
      <w:pPr>
        <w:keepNext w:val="0"/>
        <w:keepLines w:val="0"/>
        <w:pageBreakBefore w:val="0"/>
        <w:widowControl w:val="0"/>
        <w:numPr>
          <w:ilvl w:val="0"/>
          <w:numId w:val="0"/>
        </w:numPr>
        <w:kinsoku/>
        <w:wordWrap/>
        <w:overflowPunct/>
        <w:topLinePunct w:val="0"/>
        <w:autoSpaceDE/>
        <w:autoSpaceDN/>
        <w:bidi w:val="0"/>
        <w:adjustRightInd/>
        <w:snapToGrid/>
        <w:spacing w:before="40" w:line="440" w:lineRule="exact"/>
        <w:ind w:leftChars="0" w:right="0" w:rightChars="0" w:firstLine="480" w:firstLineChars="200"/>
        <w:jc w:val="both"/>
        <w:textAlignment w:val="auto"/>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spacing w:val="-4"/>
          <w:sz w:val="24"/>
          <w:szCs w:val="24"/>
          <w:lang w:val="en-US" w:eastAsia="zh-CN"/>
        </w:rPr>
        <w:t>在行动复杂或由于运营、合同或法律问题而难以停止行动的情况下，为如何停止造成或助长</w:t>
      </w:r>
      <w:r>
        <w:rPr>
          <w:rFonts w:hint="eastAsia" w:asciiTheme="minorEastAsia" w:hAnsiTheme="minorEastAsia" w:cstheme="minorEastAsia"/>
          <w:spacing w:val="-4"/>
          <w:sz w:val="24"/>
          <w:szCs w:val="24"/>
          <w:lang w:val="en-US" w:eastAsia="zh-CN"/>
        </w:rPr>
        <w:t>风险</w:t>
      </w:r>
      <w:r>
        <w:rPr>
          <w:rFonts w:hint="eastAsia" w:asciiTheme="minorEastAsia" w:hAnsiTheme="minorEastAsia" w:eastAsiaTheme="minorEastAsia" w:cstheme="minorEastAsia"/>
          <w:spacing w:val="-4"/>
          <w:sz w:val="24"/>
          <w:szCs w:val="24"/>
          <w:lang w:val="en-US" w:eastAsia="zh-CN"/>
        </w:rPr>
        <w:t xml:space="preserve">的活动制定路线图，并让法律顾问与受影响或潜在受影响的利益相关方和权利人参与其中。 </w:t>
      </w:r>
    </w:p>
    <w:p>
      <w:pPr>
        <w:keepNext w:val="0"/>
        <w:keepLines w:val="0"/>
        <w:pageBreakBefore w:val="0"/>
        <w:widowControl w:val="0"/>
        <w:numPr>
          <w:ilvl w:val="0"/>
          <w:numId w:val="0"/>
        </w:numPr>
        <w:kinsoku/>
        <w:wordWrap/>
        <w:overflowPunct/>
        <w:topLinePunct w:val="0"/>
        <w:autoSpaceDE/>
        <w:autoSpaceDN/>
        <w:bidi w:val="0"/>
        <w:adjustRightInd/>
        <w:snapToGrid/>
        <w:spacing w:before="40" w:line="440" w:lineRule="exact"/>
        <w:ind w:leftChars="0" w:right="0" w:rightChars="0" w:firstLine="480" w:firstLineChars="200"/>
        <w:jc w:val="both"/>
        <w:textAlignment w:val="auto"/>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spacing w:val="-4"/>
          <w:sz w:val="24"/>
          <w:szCs w:val="24"/>
          <w:lang w:val="en-US" w:eastAsia="zh-CN"/>
        </w:rPr>
        <w:t>更新企业政策，以提供有关未来如何避免与消除</w:t>
      </w:r>
      <w:r>
        <w:rPr>
          <w:rFonts w:hint="eastAsia" w:asciiTheme="minorEastAsia" w:hAnsiTheme="minorEastAsia" w:cstheme="minorEastAsia"/>
          <w:spacing w:val="-4"/>
          <w:sz w:val="24"/>
          <w:szCs w:val="24"/>
          <w:lang w:val="en-US" w:eastAsia="zh-CN"/>
        </w:rPr>
        <w:t>风险</w:t>
      </w:r>
      <w:r>
        <w:rPr>
          <w:rFonts w:hint="eastAsia" w:asciiTheme="minorEastAsia" w:hAnsiTheme="minorEastAsia" w:eastAsiaTheme="minorEastAsia" w:cstheme="minorEastAsia"/>
          <w:spacing w:val="-4"/>
          <w:sz w:val="24"/>
          <w:szCs w:val="24"/>
          <w:lang w:val="en-US" w:eastAsia="zh-CN"/>
        </w:rPr>
        <w:t>的</w:t>
      </w:r>
      <w:r>
        <w:rPr>
          <w:rFonts w:hint="eastAsia" w:asciiTheme="minorEastAsia" w:hAnsiTheme="minorEastAsia" w:cstheme="minorEastAsia"/>
          <w:spacing w:val="-4"/>
          <w:sz w:val="24"/>
          <w:szCs w:val="24"/>
          <w:lang w:val="en-US" w:eastAsia="zh-CN"/>
        </w:rPr>
        <w:t>政策</w:t>
      </w:r>
      <w:r>
        <w:rPr>
          <w:rFonts w:hint="eastAsia" w:asciiTheme="minorEastAsia" w:hAnsiTheme="minorEastAsia" w:eastAsiaTheme="minorEastAsia" w:cstheme="minorEastAsia"/>
          <w:spacing w:val="-4"/>
          <w:sz w:val="24"/>
          <w:szCs w:val="24"/>
          <w:lang w:val="en-US" w:eastAsia="zh-CN"/>
        </w:rPr>
        <w:t xml:space="preserve">，并确保政策得到执行。 </w:t>
      </w:r>
    </w:p>
    <w:p>
      <w:pPr>
        <w:keepNext w:val="0"/>
        <w:keepLines w:val="0"/>
        <w:pageBreakBefore w:val="0"/>
        <w:widowControl w:val="0"/>
        <w:numPr>
          <w:ilvl w:val="0"/>
          <w:numId w:val="0"/>
        </w:numPr>
        <w:kinsoku/>
        <w:wordWrap/>
        <w:overflowPunct/>
        <w:topLinePunct w:val="0"/>
        <w:autoSpaceDE/>
        <w:autoSpaceDN/>
        <w:bidi w:val="0"/>
        <w:adjustRightInd/>
        <w:snapToGrid/>
        <w:spacing w:before="40" w:line="440" w:lineRule="exact"/>
        <w:ind w:leftChars="0" w:right="0" w:rightChars="0" w:firstLine="480" w:firstLineChars="200"/>
        <w:jc w:val="both"/>
        <w:textAlignment w:val="auto"/>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spacing w:val="-4"/>
          <w:sz w:val="24"/>
          <w:szCs w:val="24"/>
          <w:lang w:val="en-US" w:eastAsia="zh-CN"/>
        </w:rPr>
        <w:t xml:space="preserve">为企业相关工人和管理人员提供量身定制的培训。 </w:t>
      </w:r>
    </w:p>
    <w:p>
      <w:pPr>
        <w:keepNext w:val="0"/>
        <w:keepLines w:val="0"/>
        <w:pageBreakBefore w:val="0"/>
        <w:widowControl w:val="0"/>
        <w:numPr>
          <w:ilvl w:val="0"/>
          <w:numId w:val="0"/>
        </w:numPr>
        <w:kinsoku/>
        <w:wordWrap/>
        <w:overflowPunct/>
        <w:topLinePunct w:val="0"/>
        <w:autoSpaceDE/>
        <w:autoSpaceDN/>
        <w:bidi w:val="0"/>
        <w:adjustRightInd/>
        <w:snapToGrid/>
        <w:spacing w:before="40" w:line="440" w:lineRule="exact"/>
        <w:ind w:leftChars="0" w:right="0" w:rightChars="0" w:firstLine="480" w:firstLineChars="200"/>
        <w:jc w:val="both"/>
        <w:textAlignment w:val="auto"/>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spacing w:val="-4"/>
          <w:sz w:val="24"/>
          <w:szCs w:val="24"/>
          <w:lang w:val="en-US" w:eastAsia="zh-CN"/>
        </w:rPr>
        <w:t>借鉴风险评估的结果，更新并加强各项管理体系，更好地跟踪信息，在</w:t>
      </w:r>
      <w:r>
        <w:rPr>
          <w:rFonts w:hint="eastAsia" w:asciiTheme="minorEastAsia" w:hAnsiTheme="minorEastAsia" w:cstheme="minorEastAsia"/>
          <w:spacing w:val="-4"/>
          <w:sz w:val="24"/>
          <w:szCs w:val="24"/>
          <w:lang w:val="en-US" w:eastAsia="zh-CN"/>
        </w:rPr>
        <w:t>风险</w:t>
      </w:r>
      <w:r>
        <w:rPr>
          <w:rFonts w:hint="eastAsia" w:asciiTheme="minorEastAsia" w:hAnsiTheme="minorEastAsia" w:eastAsiaTheme="minorEastAsia" w:cstheme="minorEastAsia"/>
          <w:spacing w:val="-4"/>
          <w:sz w:val="24"/>
          <w:szCs w:val="24"/>
          <w:lang w:val="en-US" w:eastAsia="zh-CN"/>
        </w:rPr>
        <w:t xml:space="preserve">发生之前标示风险。 </w:t>
      </w:r>
    </w:p>
    <w:p>
      <w:pPr>
        <w:keepNext w:val="0"/>
        <w:keepLines w:val="0"/>
        <w:pageBreakBefore w:val="0"/>
        <w:widowControl w:val="0"/>
        <w:numPr>
          <w:ilvl w:val="0"/>
          <w:numId w:val="0"/>
        </w:numPr>
        <w:kinsoku/>
        <w:wordWrap/>
        <w:overflowPunct/>
        <w:topLinePunct w:val="0"/>
        <w:autoSpaceDE/>
        <w:autoSpaceDN/>
        <w:bidi w:val="0"/>
        <w:adjustRightInd/>
        <w:snapToGrid/>
        <w:spacing w:before="40" w:line="440" w:lineRule="exact"/>
        <w:ind w:leftChars="0" w:right="0" w:rightChars="0" w:firstLine="480" w:firstLineChars="200"/>
        <w:jc w:val="both"/>
        <w:textAlignment w:val="auto"/>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spacing w:val="-4"/>
          <w:sz w:val="24"/>
          <w:szCs w:val="24"/>
          <w:lang w:val="en-US" w:eastAsia="zh-CN"/>
        </w:rPr>
        <w:t xml:space="preserve">征询受影响和潜在受影响利益相关方和权利人及其代表的意见，并与之开展合作，以制定适当的行动并实施计划。 </w:t>
      </w:r>
    </w:p>
    <w:p>
      <w:pPr>
        <w:keepNext w:val="0"/>
        <w:keepLines w:val="0"/>
        <w:pageBreakBefore w:val="0"/>
        <w:widowControl w:val="0"/>
        <w:numPr>
          <w:ilvl w:val="0"/>
          <w:numId w:val="0"/>
        </w:numPr>
        <w:kinsoku/>
        <w:wordWrap/>
        <w:overflowPunct/>
        <w:topLinePunct w:val="0"/>
        <w:autoSpaceDE/>
        <w:autoSpaceDN/>
        <w:bidi w:val="0"/>
        <w:adjustRightInd/>
        <w:snapToGrid/>
        <w:spacing w:before="4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 xml:space="preserve">●在产生集体影响或累计影响的情况下，酌情寻求与其他所涉实体合作，如通过行业倡议以及与政府合作，以终止影响，并防范影响再次发生，或者防范风险成为现实。 </w:t>
      </w:r>
    </w:p>
    <w:p>
      <w:pPr>
        <w:keepNext w:val="0"/>
        <w:keepLines w:val="0"/>
        <w:pageBreakBefore w:val="0"/>
        <w:widowControl w:val="0"/>
        <w:numPr>
          <w:ilvl w:val="0"/>
          <w:numId w:val="0"/>
        </w:numPr>
        <w:kinsoku/>
        <w:wordWrap/>
        <w:overflowPunct/>
        <w:topLinePunct w:val="0"/>
        <w:autoSpaceDE/>
        <w:autoSpaceDN/>
        <w:bidi w:val="0"/>
        <w:adjustRightInd/>
        <w:snapToGrid/>
        <w:spacing w:before="4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●在有些情况下，企业正在助长由另一实体造成的影响或风险，此时企业应采取必要措施，以终止或防范上述助长作用，同时建立并利用影响力，以最大程度减轻剩余影响。</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color w:val="000000" w:themeColor="text1"/>
          <w:sz w:val="28"/>
          <w:szCs w:val="28"/>
          <w14:textFill>
            <w14:solidFill>
              <w14:schemeClr w14:val="tx1"/>
            </w14:solidFill>
          </w14:textFill>
        </w:rPr>
      </w:pPr>
      <w:bookmarkStart w:id="72" w:name="_Toc18036"/>
      <w:r>
        <w:rPr>
          <w:rFonts w:hint="eastAsia" w:ascii="方正公文黑体" w:hAnsi="方正公文黑体" w:eastAsia="方正公文黑体" w:cs="方正公文黑体"/>
          <w:color w:val="000000" w:themeColor="text1"/>
          <w:sz w:val="28"/>
          <w:szCs w:val="28"/>
          <w:lang w:val="en-US" w:eastAsia="zh-CN"/>
          <w14:textFill>
            <w14:solidFill>
              <w14:schemeClr w14:val="tx1"/>
            </w14:solidFill>
          </w14:textFill>
        </w:rPr>
        <w:t>5.</w:t>
      </w:r>
      <w:r>
        <w:rPr>
          <w:rFonts w:hint="eastAsia" w:ascii="方正公文黑体" w:hAnsi="方正公文黑体" w:eastAsia="方正公文黑体" w:cs="方正公文黑体"/>
          <w:color w:val="000000" w:themeColor="text1"/>
          <w:sz w:val="28"/>
          <w:szCs w:val="28"/>
          <w14:textFill>
            <w14:solidFill>
              <w14:schemeClr w14:val="tx1"/>
            </w14:solidFill>
          </w14:textFill>
        </w:rPr>
        <w:t>1.</w:t>
      </w:r>
      <w:r>
        <w:rPr>
          <w:rFonts w:hint="eastAsia" w:ascii="方正公文黑体" w:hAnsi="方正公文黑体" w:eastAsia="方正公文黑体" w:cs="方正公文黑体"/>
          <w:color w:val="000000" w:themeColor="text1"/>
          <w:sz w:val="28"/>
          <w:szCs w:val="28"/>
          <w:lang w:val="en-US" w:eastAsia="zh-CN"/>
          <w14:textFill>
            <w14:solidFill>
              <w14:schemeClr w14:val="tx1"/>
            </w14:solidFill>
          </w14:textFill>
        </w:rPr>
        <w:t>5</w:t>
      </w:r>
      <w:r>
        <w:rPr>
          <w:rFonts w:hint="eastAsia" w:ascii="方正公文黑体" w:hAnsi="方正公文黑体" w:eastAsia="方正公文黑体" w:cs="方正公文黑体"/>
          <w:color w:val="000000" w:themeColor="text1"/>
          <w:sz w:val="28"/>
          <w:szCs w:val="28"/>
          <w14:textFill>
            <w14:solidFill>
              <w14:schemeClr w14:val="tx1"/>
            </w14:solidFill>
          </w14:textFill>
        </w:rPr>
        <w:t>沟通如何消除影响</w:t>
      </w:r>
      <w:bookmarkEnd w:id="71"/>
      <w:bookmarkEnd w:id="72"/>
      <w:r>
        <w:rPr>
          <w:rFonts w:hint="eastAsia" w:ascii="方正公文黑体" w:hAnsi="方正公文黑体" w:eastAsia="方正公文黑体" w:cs="方正公文黑体"/>
          <w:color w:val="000000" w:themeColor="text1"/>
          <w:sz w:val="28"/>
          <w:szCs w:val="28"/>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466" w:firstLineChars="200"/>
        <w:textAlignment w:val="auto"/>
        <w:rPr>
          <w:rFonts w:hint="eastAsia" w:asciiTheme="minorEastAsia" w:hAnsiTheme="minorEastAsia" w:eastAsiaTheme="minorEastAsia" w:cstheme="minorEastAsia"/>
          <w:b/>
          <w:bCs/>
          <w:spacing w:val="-4"/>
          <w:sz w:val="24"/>
          <w:szCs w:val="24"/>
          <w:lang w:val="en-US" w:eastAsia="zh-CN"/>
        </w:rPr>
      </w:pPr>
      <w:r>
        <w:rPr>
          <w:rFonts w:hint="eastAsia" w:asciiTheme="minorEastAsia" w:hAnsiTheme="minorEastAsia" w:eastAsiaTheme="minorEastAsia" w:cstheme="minorEastAsia"/>
          <w:b/>
          <w:bCs/>
          <w:spacing w:val="-4"/>
          <w:sz w:val="24"/>
          <w:szCs w:val="24"/>
          <w:lang w:val="en-US" w:eastAsia="zh-CN"/>
        </w:rPr>
        <w:t>企业应就相关信息进行对外沟通，内容涉及尽责管理政策、过程、为识别与消除实际或潜在不利影响而开展的活动，包括这些活动的结果和成效。</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sz w:val="24"/>
        </w:rPr>
      </w:pPr>
      <w:r>
        <w:rPr>
          <w:sz w:val="24"/>
        </w:rPr>
        <mc:AlternateContent>
          <mc:Choice Requires="wps">
            <w:drawing>
              <wp:anchor distT="0" distB="0" distL="114300" distR="114300" simplePos="0" relativeHeight="251668480" behindDoc="0" locked="0" layoutInCell="1" allowOverlap="1">
                <wp:simplePos x="0" y="0"/>
                <wp:positionH relativeFrom="column">
                  <wp:posOffset>260985</wp:posOffset>
                </wp:positionH>
                <wp:positionV relativeFrom="paragraph">
                  <wp:posOffset>240030</wp:posOffset>
                </wp:positionV>
                <wp:extent cx="5262245" cy="0"/>
                <wp:effectExtent l="15875" t="15875" r="0" b="22225"/>
                <wp:wrapNone/>
                <wp:docPr id="13" name="直接连接符 13"/>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0.55pt;margin-top:18.9pt;height:0pt;width:414.35pt;z-index:251668480;mso-width-relative:page;mso-height-relative:page;" filled="f" stroked="t" coordsize="21600,21600" o:gfxdata="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dCacx9QAAAAIAQAADwAAAAAAAAABACAA&#10;AAAiAAAAZHJzL2Rvd25yZXYueG1sUEsBAhQAFAAAAAgAh07iQJdAJrn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pPr>
      <w:r>
        <w:rPr>
          <w:rFonts w:hint="eastAsia" w:ascii="微软雅黑" w:hAnsi="微软雅黑" w:eastAsia="微软雅黑" w:cs="微软雅黑"/>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t>重要提示：白酒企业</w:t>
      </w:r>
      <w:r>
        <w:rPr>
          <w:rFonts w:hint="eastAsia" w:ascii="方正仿宋_GB2312" w:hAnsi="方正仿宋_GB2312" w:eastAsia="方正仿宋_GB2312" w:cs="方正仿宋_GB2312"/>
          <w:snapToGrid w:val="0"/>
          <w:color w:val="FF0000"/>
          <w:kern w:val="0"/>
          <w:sz w:val="24"/>
          <w:szCs w:val="24"/>
          <w:lang w:val="en-US" w:eastAsia="zh-CN" w:bidi="ar-SA"/>
          <w14:textOutline w14:w="4358" w14:cap="sq" w14:cmpd="sng">
            <w14:solidFill>
              <w14:srgbClr w14:val="000000"/>
            </w14:solidFill>
            <w14:prstDash w14:val="solid"/>
            <w14:bevel/>
          </w14:textOutline>
        </w:rPr>
        <w:t>对供应商提出尽责管理要求，并</w:t>
      </w:r>
      <w:r>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t>适时公开发布尽责管理报告。走访、电话以及良好媒体及时与供应商及时良好沟通也是消除影响的重要途径。</w:t>
      </w:r>
    </w:p>
    <w:p>
      <w:pPr>
        <w:keepNext w:val="0"/>
        <w:keepLines w:val="0"/>
        <w:pageBreakBefore w:val="0"/>
        <w:widowControl w:val="0"/>
        <w:numPr>
          <w:ilvl w:val="0"/>
          <w:numId w:val="0"/>
        </w:numPr>
        <w:kinsoku/>
        <w:wordWrap/>
        <w:overflowPunct/>
        <w:topLinePunct w:val="0"/>
        <w:bidi w:val="0"/>
        <w:adjustRightInd/>
        <w:snapToGrid/>
        <w:spacing w:before="203" w:line="400" w:lineRule="exact"/>
        <w:ind w:leftChars="0" w:right="11" w:rightChars="0" w:firstLine="480" w:firstLineChars="200"/>
        <w:jc w:val="both"/>
        <w:textAlignment w:val="auto"/>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当企业面临负面影响时，通过以下措施可以有效消除影响：</w:t>
      </w:r>
    </w:p>
    <w:p>
      <w:pPr>
        <w:pageBreakBefore w:val="0"/>
        <w:numPr>
          <w:ilvl w:val="0"/>
          <w:numId w:val="0"/>
        </w:numPr>
        <w:wordWrap/>
        <w:overflowPunct/>
        <w:topLinePunct w:val="0"/>
        <w:bidi w:val="0"/>
        <w:spacing w:before="203" w:line="400" w:lineRule="exact"/>
        <w:ind w:leftChars="0" w:right="13" w:rightChars="0" w:firstLine="480" w:firstLineChars="20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1.白酒供应链尽责管理报告：定期或不定期发布尽责管理报告，内容涵盖公司的环境、社会和治理实践。这种方式可以提高公司透明度，加强与股东、投资者和公众的沟通。通过报告，企业可以展示其在应对挑战和解决问题方面的努力。</w:t>
      </w:r>
    </w:p>
    <w:p>
      <w:pPr>
        <w:pageBreakBefore w:val="0"/>
        <w:numPr>
          <w:ilvl w:val="0"/>
          <w:numId w:val="0"/>
        </w:numPr>
        <w:wordWrap/>
        <w:overflowPunct/>
        <w:topLinePunct w:val="0"/>
        <w:bidi w:val="0"/>
        <w:spacing w:before="203" w:line="400" w:lineRule="exact"/>
        <w:ind w:leftChars="0" w:right="13" w:rightChars="0" w:firstLine="480" w:firstLineChars="20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2.走访：面对面与利益相关者沟通，是最直接有效的方式。企业可以安排领导者或代表进行拜访，以解释企业的立场，展示企业的解决方案或进步，并直接回答利益相关者的问题。</w:t>
      </w:r>
    </w:p>
    <w:p>
      <w:pPr>
        <w:pageBreakBefore w:val="0"/>
        <w:numPr>
          <w:ilvl w:val="0"/>
          <w:numId w:val="0"/>
        </w:numPr>
        <w:wordWrap/>
        <w:overflowPunct/>
        <w:topLinePunct w:val="0"/>
        <w:bidi w:val="0"/>
        <w:spacing w:before="203" w:line="400" w:lineRule="exact"/>
        <w:ind w:leftChars="0" w:right="13" w:rightChars="0" w:firstLine="480" w:firstLineChars="20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3.电话：通过电话，企业可以与受影响的客户、投资者或社区进行一对一的沟通。这种方式比较亲切，有助于建立信任和理解。</w:t>
      </w:r>
    </w:p>
    <w:p>
      <w:pPr>
        <w:pageBreakBefore w:val="0"/>
        <w:numPr>
          <w:ilvl w:val="0"/>
          <w:numId w:val="0"/>
        </w:numPr>
        <w:wordWrap/>
        <w:overflowPunct/>
        <w:topLinePunct w:val="0"/>
        <w:bidi w:val="0"/>
        <w:spacing w:before="203" w:line="400" w:lineRule="exact"/>
        <w:ind w:leftChars="0" w:right="13" w:rightChars="0" w:firstLine="480" w:firstLineChars="20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4.媒体：在当今的数字化世界中，媒体（特别是社交媒体）是极为重要的沟通工具，企业可以定期发布新闻稿、博客文章或视频，以传达企业的价值观、战略和愿景。同时，企业还可以通过社交媒体直接回应公众的质疑和批评，迅速控制危机。选择影响力大信誉良好的媒体适时对外发布尽责报告、及时通告、及时表达企业积极的态度和策略是企业与供应商沟通的良好措施。</w:t>
      </w:r>
    </w:p>
    <w:p>
      <w:pPr>
        <w:pageBreakBefore w:val="0"/>
        <w:numPr>
          <w:ilvl w:val="0"/>
          <w:numId w:val="0"/>
        </w:numPr>
        <w:wordWrap/>
        <w:overflowPunct/>
        <w:topLinePunct w:val="0"/>
        <w:bidi w:val="0"/>
        <w:spacing w:before="203" w:line="400" w:lineRule="exact"/>
        <w:ind w:leftChars="0" w:right="13" w:rightChars="0" w:firstLine="480" w:firstLineChars="200"/>
        <w:jc w:val="both"/>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总的来说，消除负面影响需要企业多管齐下，通过多种方式与利益相关者进行有效的沟通。在此基础上，更重要的是企业要采取实际行动来改进自身的问题，真正赢得利益相关者的信任和支持。</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heme="minorEastAsia" w:hAnsiTheme="minorEastAsia" w:eastAsiaTheme="minorEastAsia" w:cstheme="minorEastAsia"/>
          <w:b/>
          <w:bCs/>
          <w:spacing w:val="-4"/>
          <w:sz w:val="24"/>
          <w:szCs w:val="24"/>
          <w:lang w:val="en-US" w:eastAsia="zh-CN"/>
        </w:rPr>
      </w:pPr>
      <w:r>
        <w:rPr>
          <w:sz w:val="24"/>
        </w:rPr>
        <mc:AlternateContent>
          <mc:Choice Requires="wps">
            <w:drawing>
              <wp:anchor distT="0" distB="0" distL="114300" distR="114300" simplePos="0" relativeHeight="251669504" behindDoc="0" locked="0" layoutInCell="1" allowOverlap="1">
                <wp:simplePos x="0" y="0"/>
                <wp:positionH relativeFrom="column">
                  <wp:posOffset>336550</wp:posOffset>
                </wp:positionH>
                <wp:positionV relativeFrom="paragraph">
                  <wp:posOffset>185420</wp:posOffset>
                </wp:positionV>
                <wp:extent cx="5262245" cy="0"/>
                <wp:effectExtent l="15875" t="15875" r="0" b="22225"/>
                <wp:wrapNone/>
                <wp:docPr id="14" name="直接连接符 14"/>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6.5pt;margin-top:14.6pt;height:0pt;width:414.35pt;z-index:251669504;mso-width-relative:page;mso-height-relative:page;" filled="f" stroked="t" coordsize="21600,21600" o:gfxdata="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BddjrPVAAAACAEAAA8AAAAAAAAAAQAg&#10;AAAAIgAAAGRycy9kb3ducmV2LnhtbFBLAQIUABQAAAAIAIdO4kBeJ8rz2AEAAJEDAAAOAAAAAAAA&#10;AAEAIAAAACQBAABkcnMvZTJvRG9jLnhtbFBLBQYAAAAABgAGAFkBAABuBQAAAAA=&#10;">
                <v:fill on="f" focussize="0,0"/>
                <v:stroke weight="2.5pt" color="#4874CB [3204]" joinstyle="round" dashstyle="1 1" endcap="round"/>
                <v:imagedata o:title=""/>
                <o:lock v:ext="edit" aspectratio="f"/>
              </v:line>
            </w:pict>
          </mc:Fallback>
        </mc:AlternateContent>
      </w:r>
    </w:p>
    <w:p>
      <w:pPr>
        <w:spacing w:before="78" w:line="360" w:lineRule="auto"/>
        <w:ind w:left="134" w:right="73" w:firstLine="475"/>
        <w:jc w:val="both"/>
        <w:rPr>
          <w:rFonts w:hint="eastAsia" w:asciiTheme="minorEastAsia" w:hAnsiTheme="minorEastAsia" w:eastAsiaTheme="minorEastAsia" w:cstheme="minorEastAsia"/>
          <w:spacing w:val="-1"/>
          <w:sz w:val="24"/>
          <w:szCs w:val="24"/>
        </w:rPr>
      </w:pPr>
      <w:bookmarkStart w:id="73" w:name="_Toc9510"/>
      <w:r>
        <w:rPr>
          <w:rFonts w:hint="eastAsia" w:asciiTheme="minorEastAsia" w:hAnsiTheme="minorEastAsia" w:eastAsiaTheme="minorEastAsia" w:cstheme="minorEastAsia"/>
          <w:spacing w:val="-3"/>
          <w:sz w:val="24"/>
          <w:szCs w:val="24"/>
        </w:rPr>
        <w:t>企业应当以</w:t>
      </w:r>
      <w:r>
        <w:rPr>
          <w:rFonts w:hint="eastAsia" w:asciiTheme="minorEastAsia" w:hAnsiTheme="minorEastAsia" w:cstheme="minorEastAsia"/>
          <w:spacing w:val="-3"/>
          <w:sz w:val="24"/>
          <w:szCs w:val="24"/>
          <w:lang w:val="en-US" w:eastAsia="zh-CN"/>
        </w:rPr>
        <w:t>最</w:t>
      </w:r>
      <w:r>
        <w:rPr>
          <w:rFonts w:hint="eastAsia" w:asciiTheme="minorEastAsia" w:hAnsiTheme="minorEastAsia" w:eastAsiaTheme="minorEastAsia" w:cstheme="minorEastAsia"/>
          <w:spacing w:val="-3"/>
          <w:sz w:val="24"/>
          <w:szCs w:val="24"/>
        </w:rPr>
        <w:t>便捷的方式（如企业官网）向</w:t>
      </w:r>
      <w:r>
        <w:rPr>
          <w:rFonts w:hint="eastAsia" w:asciiTheme="minorEastAsia" w:hAnsiTheme="minorEastAsia" w:eastAsiaTheme="minorEastAsia" w:cstheme="minorEastAsia"/>
          <w:spacing w:val="-4"/>
          <w:sz w:val="24"/>
          <w:szCs w:val="24"/>
        </w:rPr>
        <w:t>企业内部及社会公众公开与</w:t>
      </w:r>
      <w:r>
        <w:rPr>
          <w:rFonts w:hint="eastAsia" w:asciiTheme="minorEastAsia" w:hAnsiTheme="minorEastAsia" w:eastAsiaTheme="minorEastAsia" w:cstheme="minorEastAsia"/>
          <w:spacing w:val="-4"/>
          <w:sz w:val="24"/>
          <w:szCs w:val="24"/>
          <w:lang w:eastAsia="zh-CN"/>
        </w:rPr>
        <w:t>供应商</w:t>
      </w:r>
      <w:r>
        <w:rPr>
          <w:rFonts w:hint="eastAsia" w:asciiTheme="minorEastAsia" w:hAnsiTheme="minorEastAsia" w:eastAsiaTheme="minorEastAsia" w:cstheme="minorEastAsia"/>
          <w:spacing w:val="-2"/>
          <w:sz w:val="24"/>
          <w:szCs w:val="24"/>
        </w:rPr>
        <w:t>权利相关的尽责管理流程。在不涉及</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2"/>
          <w:sz w:val="24"/>
          <w:szCs w:val="24"/>
        </w:rPr>
        <w:t>隐私、经过</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3"/>
          <w:sz w:val="24"/>
          <w:szCs w:val="24"/>
        </w:rPr>
        <w:t>同意的前提下，</w:t>
      </w:r>
      <w:r>
        <w:rPr>
          <w:rFonts w:hint="eastAsia" w:asciiTheme="minorEastAsia" w:hAnsiTheme="minorEastAsia" w:eastAsiaTheme="minorEastAsia" w:cstheme="minorEastAsia"/>
          <w:spacing w:val="-1"/>
          <w:sz w:val="24"/>
          <w:szCs w:val="24"/>
        </w:rPr>
        <w:t>可以将</w:t>
      </w:r>
      <w:r>
        <w:rPr>
          <w:rFonts w:hint="eastAsia" w:asciiTheme="minorEastAsia" w:hAnsiTheme="minorEastAsia" w:cstheme="minorEastAsia"/>
          <w:spacing w:val="-1"/>
          <w:sz w:val="24"/>
          <w:szCs w:val="24"/>
          <w:lang w:val="en-US" w:eastAsia="zh-CN"/>
        </w:rPr>
        <w:t>供应商</w:t>
      </w:r>
      <w:r>
        <w:rPr>
          <w:rFonts w:hint="eastAsia" w:asciiTheme="minorEastAsia" w:hAnsiTheme="minorEastAsia" w:eastAsiaTheme="minorEastAsia" w:cstheme="minorEastAsia"/>
          <w:spacing w:val="-1"/>
          <w:sz w:val="24"/>
          <w:szCs w:val="24"/>
        </w:rPr>
        <w:t>尽责管理的案例作为实践范例在企业内部公开。</w:t>
      </w:r>
    </w:p>
    <w:p>
      <w:pPr>
        <w:keepNext w:val="0"/>
        <w:keepLines w:val="0"/>
        <w:pageBreakBefore w:val="0"/>
        <w:widowControl w:val="0"/>
        <w:kinsoku/>
        <w:wordWrap/>
        <w:overflowPunct/>
        <w:topLinePunct w:val="0"/>
        <w:autoSpaceDE/>
        <w:autoSpaceDN/>
        <w:bidi w:val="0"/>
        <w:adjustRightInd/>
        <w:snapToGrid/>
        <w:spacing w:before="236" w:line="400" w:lineRule="exact"/>
        <w:ind w:right="680" w:firstLine="460" w:firstLineChars="200"/>
        <w:jc w:val="both"/>
        <w:textAlignment w:val="auto"/>
        <w:rPr>
          <w:rFonts w:hint="eastAsia" w:asciiTheme="minorEastAsia" w:hAnsiTheme="minorEastAsia" w:eastAsiaTheme="minorEastAsia" w:cstheme="minorEastAsia"/>
          <w:spacing w:val="-5"/>
          <w:sz w:val="24"/>
          <w:szCs w:val="24"/>
          <w:lang w:val="en-US" w:eastAsia="zh-CN"/>
          <w14:textOutline w14:w="4358" w14:cap="sq" w14:cmpd="sng">
            <w14:solidFill>
              <w14:srgbClr w14:val="000000"/>
            </w14:solidFill>
            <w14:prstDash w14:val="solid"/>
            <w14:bevel/>
          </w14:textOutline>
        </w:rPr>
      </w:pPr>
      <w:r>
        <w:rPr>
          <w:rFonts w:hint="eastAsia" w:asciiTheme="minorEastAsia" w:hAnsiTheme="minorEastAsia" w:eastAsiaTheme="minorEastAsia" w:cstheme="minorEastAsia"/>
          <w:spacing w:val="-5"/>
          <w:sz w:val="24"/>
          <w:szCs w:val="24"/>
          <w:lang w:val="en-US" w:eastAsia="zh-CN"/>
          <w14:textOutline w14:w="4358" w14:cap="sq" w14:cmpd="sng">
            <w14:solidFill>
              <w14:srgbClr w14:val="000000"/>
            </w14:solidFill>
            <w14:prstDash w14:val="solid"/>
            <w14:bevel/>
          </w14:textOutline>
        </w:rPr>
        <w:t>实用行动</w:t>
      </w:r>
    </w:p>
    <w:p>
      <w:pPr>
        <w:spacing w:before="78" w:line="360" w:lineRule="auto"/>
        <w:ind w:right="73" w:firstLine="472"/>
        <w:jc w:val="both"/>
        <w:rPr>
          <w:rFonts w:hint="eastAsia" w:asciiTheme="minorEastAsia" w:hAnsiTheme="minorEastAsia" w:cstheme="minorEastAsia"/>
          <w:spacing w:val="-1"/>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spacing w:val="-1"/>
          <w:sz w:val="24"/>
          <w:szCs w:val="24"/>
          <w:lang w:val="en-US" w:eastAsia="zh-CN"/>
        </w:rPr>
        <w:t>公开企业尽责管理报告或者公开报告尽责管理过程的相关信息，如通过企业年报、可持续发展报告、ESG报告、可持续发展报告、企业责任报告等信息批露形式。</w:t>
      </w:r>
    </w:p>
    <w:p>
      <w:pPr>
        <w:spacing w:before="78" w:line="360" w:lineRule="auto"/>
        <w:ind w:right="73" w:firstLine="472"/>
        <w:jc w:val="both"/>
        <w:rPr>
          <w:rFonts w:hint="eastAsia" w:asciiTheme="minorEastAsia" w:hAnsiTheme="minorEastAsia" w:cstheme="minorEastAsia"/>
          <w:spacing w:val="-1"/>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spacing w:val="-1"/>
          <w:sz w:val="24"/>
          <w:szCs w:val="24"/>
          <w:lang w:val="en-US" w:eastAsia="zh-CN"/>
        </w:rPr>
        <w:t>通过媒体、企业网站、企业经营场所等发布尽责管理信息。</w:t>
      </w:r>
    </w:p>
    <w:p>
      <w:pPr>
        <w:spacing w:before="78" w:line="360" w:lineRule="auto"/>
        <w:ind w:right="73" w:firstLine="472"/>
        <w:jc w:val="both"/>
        <w:rPr>
          <w:rFonts w:hint="default" w:asciiTheme="minorEastAsia" w:hAnsiTheme="minorEastAsia" w:cstheme="minorEastAsia"/>
          <w:spacing w:val="-1"/>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企业领导层拜访、走访利益相关者，面对面沟通。</w:t>
      </w:r>
    </w:p>
    <w:bookmarkEnd w:id="73"/>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rPr>
      </w:pPr>
      <w:bookmarkStart w:id="74" w:name="_Toc141"/>
      <w:bookmarkStart w:id="75" w:name="_Toc31989"/>
      <w:r>
        <w:rPr>
          <w:rFonts w:hint="eastAsia" w:ascii="方正公文黑体" w:hAnsi="方正公文黑体" w:eastAsia="方正公文黑体" w:cs="方正公文黑体"/>
          <w:sz w:val="28"/>
          <w:szCs w:val="28"/>
          <w:lang w:val="en-US" w:eastAsia="zh-CN"/>
        </w:rPr>
        <w:t>5.</w:t>
      </w:r>
      <w:r>
        <w:rPr>
          <w:rFonts w:hint="eastAsia" w:ascii="方正公文黑体" w:hAnsi="方正公文黑体" w:eastAsia="方正公文黑体" w:cs="方正公文黑体"/>
          <w:sz w:val="28"/>
          <w:szCs w:val="28"/>
        </w:rPr>
        <w:t>1.</w:t>
      </w:r>
      <w:r>
        <w:rPr>
          <w:rFonts w:hint="eastAsia" w:ascii="方正公文黑体" w:hAnsi="方正公文黑体" w:eastAsia="方正公文黑体" w:cs="方正公文黑体"/>
          <w:sz w:val="28"/>
          <w:szCs w:val="28"/>
          <w:lang w:val="en-US" w:eastAsia="zh-CN"/>
        </w:rPr>
        <w:t>6</w:t>
      </w:r>
      <w:r>
        <w:rPr>
          <w:rFonts w:hint="eastAsia" w:ascii="方正公文黑体" w:hAnsi="方正公文黑体" w:eastAsia="方正公文黑体" w:cs="方正公文黑体"/>
          <w:sz w:val="28"/>
          <w:szCs w:val="28"/>
        </w:rPr>
        <w:t xml:space="preserve"> 适时提供条件或开展合作进行补救</w:t>
      </w:r>
      <w:bookmarkEnd w:id="74"/>
      <w:bookmarkEnd w:id="75"/>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cstheme="minorEastAsia"/>
          <w:spacing w:val="-1"/>
          <w:sz w:val="24"/>
          <w:szCs w:val="24"/>
          <w:lang w:val="en-US" w:eastAsia="zh-CN"/>
        </w:rPr>
      </w:pPr>
      <w:r>
        <w:rPr>
          <w:rFonts w:hint="eastAsia" w:ascii="方正公文黑体" w:hAnsi="方正公文黑体" w:eastAsia="方正公文黑体" w:cs="方正公文黑体"/>
          <w:sz w:val="28"/>
          <w:szCs w:val="28"/>
          <w:lang w:val="en-US" w:eastAsia="zh-CN"/>
        </w:rPr>
        <w:t xml:space="preserve">   </w:t>
      </w:r>
      <w:r>
        <w:rPr>
          <w:rFonts w:hint="eastAsia" w:asciiTheme="minorEastAsia" w:hAnsiTheme="minorEastAsia" w:cstheme="minorEastAsia"/>
          <w:spacing w:val="-1"/>
          <w:sz w:val="24"/>
          <w:szCs w:val="24"/>
          <w:lang w:val="en-US" w:eastAsia="zh-CN"/>
        </w:rPr>
        <w:t>企业识别采购体系中自身已经造成或助长实际不利影响时，通过提供申诉、投诉、合作等正当补救机制来消除这些影响。</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cstheme="minorEastAsia"/>
          <w:spacing w:val="-1"/>
          <w:sz w:val="24"/>
          <w:szCs w:val="24"/>
          <w:lang w:val="en-US" w:eastAsia="zh-CN"/>
        </w:rPr>
      </w:pPr>
      <w:r>
        <w:rPr>
          <w:sz w:val="24"/>
        </w:rPr>
        <mc:AlternateContent>
          <mc:Choice Requires="wps">
            <w:drawing>
              <wp:anchor distT="0" distB="0" distL="114300" distR="114300" simplePos="0" relativeHeight="251670528" behindDoc="0" locked="0" layoutInCell="1" allowOverlap="1">
                <wp:simplePos x="0" y="0"/>
                <wp:positionH relativeFrom="column">
                  <wp:posOffset>307975</wp:posOffset>
                </wp:positionH>
                <wp:positionV relativeFrom="paragraph">
                  <wp:posOffset>214630</wp:posOffset>
                </wp:positionV>
                <wp:extent cx="5262245" cy="0"/>
                <wp:effectExtent l="15875" t="15875" r="0" b="22225"/>
                <wp:wrapNone/>
                <wp:docPr id="15" name="直接连接符 15"/>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4.25pt;margin-top:16.9pt;height:0pt;width:414.35pt;z-index:251670528;mso-width-relative:page;mso-height-relative:page;" filled="f" stroked="t" coordsize="21600,21600" o:gfxdata="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73HyE1AAAAAgBAAAPAAAAAAAAAAEAIAAA&#10;ACIAAABkcnMvZG93bnJldi54bWxQSwECFAAUAAAACACHTuJAMDMDJNcBAACRAwAADgAAAAAAAAAB&#10;ACAAAAAjAQAAZHJzL2Uyb0RvYy54bWxQSwUGAAAAAAYABgBZAQAAbAUAAAAA&#10;">
                <v:fill on="f" focussize="0,0"/>
                <v:stroke weight="2.5pt" color="#4874CB [3204]" joinstyle="round" dashstyle="1 1" endcap="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before="40" w:line="440" w:lineRule="exact"/>
        <w:ind w:right="0" w:firstLine="480" w:firstLineChars="200"/>
        <w:textAlignment w:val="auto"/>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pPr>
      <w:r>
        <w:rPr>
          <w:rFonts w:hint="eastAsia" w:ascii="微软雅黑" w:hAnsi="微软雅黑" w:eastAsia="微软雅黑" w:cs="微软雅黑"/>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t>重要提示：当企业助长了风险，企业需立即开展补救</w:t>
      </w:r>
    </w:p>
    <w:p>
      <w:pPr>
        <w:keepNext w:val="0"/>
        <w:keepLines w:val="0"/>
        <w:pageBreakBefore w:val="0"/>
        <w:widowControl w:val="0"/>
        <w:kinsoku/>
        <w:wordWrap/>
        <w:overflowPunct/>
        <w:topLinePunct w:val="0"/>
        <w:autoSpaceDE/>
        <w:autoSpaceDN/>
        <w:bidi w:val="0"/>
        <w:adjustRightInd/>
        <w:snapToGrid/>
        <w:spacing w:before="4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当企业采购部门采购原材料时，部门相关负责人经常出现以下腐败现象：</w:t>
      </w:r>
    </w:p>
    <w:p>
      <w:pPr>
        <w:keepNext w:val="0"/>
        <w:keepLines w:val="0"/>
        <w:pageBreakBefore w:val="0"/>
        <w:widowControl w:val="0"/>
        <w:kinsoku/>
        <w:wordWrap/>
        <w:overflowPunct/>
        <w:topLinePunct w:val="0"/>
        <w:autoSpaceDE/>
        <w:autoSpaceDN/>
        <w:bidi w:val="0"/>
        <w:adjustRightInd/>
        <w:snapToGrid/>
        <w:spacing w:before="4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1.虚报采购数量：采购人员可能故意虚报采购数量，以获取更多的采购资金。他们可能会夸大实际需求，或者重复申报同一批次的原材料，以增加采购量。</w:t>
      </w:r>
    </w:p>
    <w:p>
      <w:pPr>
        <w:keepNext w:val="0"/>
        <w:keepLines w:val="0"/>
        <w:pageBreakBefore w:val="0"/>
        <w:widowControl w:val="0"/>
        <w:kinsoku/>
        <w:wordWrap/>
        <w:overflowPunct/>
        <w:topLinePunct w:val="0"/>
        <w:autoSpaceDE/>
        <w:autoSpaceDN/>
        <w:bidi w:val="0"/>
        <w:adjustRightInd/>
        <w:snapToGrid/>
        <w:spacing w:before="4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2.收取回扣：采购人员可能从供应商处收取回扣，作为他们选择特定供应商的条件。这些回扣可能以现金、礼品、旅游等形式给予，以换取更优惠的价格或优先权。</w:t>
      </w:r>
    </w:p>
    <w:p>
      <w:pPr>
        <w:keepNext w:val="0"/>
        <w:keepLines w:val="0"/>
        <w:pageBreakBefore w:val="0"/>
        <w:widowControl w:val="0"/>
        <w:kinsoku/>
        <w:wordWrap/>
        <w:overflowPunct/>
        <w:topLinePunct w:val="0"/>
        <w:autoSpaceDE/>
        <w:autoSpaceDN/>
        <w:bidi w:val="0"/>
        <w:adjustRightInd/>
        <w:snapToGrid/>
        <w:spacing w:before="4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3.偷换原材料：采购人员可能与供应商合谋，将质量较差或低价的原材料替换为高质量或高价的原材料。这种行为可能导致企业支付额外的费用，而实际收到的原材料并不符合质量要求。</w:t>
      </w:r>
    </w:p>
    <w:p>
      <w:pPr>
        <w:keepNext w:val="0"/>
        <w:keepLines w:val="0"/>
        <w:pageBreakBefore w:val="0"/>
        <w:widowControl w:val="0"/>
        <w:kinsoku/>
        <w:wordWrap/>
        <w:overflowPunct/>
        <w:topLinePunct w:val="0"/>
        <w:autoSpaceDE/>
        <w:autoSpaceDN/>
        <w:bidi w:val="0"/>
        <w:adjustRightInd/>
        <w:snapToGrid/>
        <w:spacing w:before="4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4.挪用采购资金：采购人员可能将采购资金挪作他用，例如用于个人消费、投资或赌博等。这种行为可能导致企业无法及时获得所需的原材料，进而影响生产进度和产品质量。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val="0"/>
        <w:wordWrap/>
        <w:overflowPunct/>
        <w:topLinePunct w:val="0"/>
        <w:autoSpaceDE w:val="0"/>
        <w:autoSpaceDN w:val="0"/>
        <w:bidi w:val="0"/>
        <w:adjustRightInd w:val="0"/>
        <w:snapToGrid w:val="0"/>
        <w:spacing w:before="0" w:beforeAutospacing="0" w:after="0" w:afterAutospacing="0" w:line="400" w:lineRule="exact"/>
        <w:ind w:left="0" w:right="0" w:firstLine="480" w:firstLineChars="200"/>
        <w:jc w:val="both"/>
        <w:textAlignment w:val="baseline"/>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5.水资源污染</w:t>
      </w:r>
    </w:p>
    <w:p>
      <w:pPr>
        <w:keepNext w:val="0"/>
        <w:keepLines w:val="0"/>
        <w:pageBreakBefore w:val="0"/>
        <w:widowControl w:val="0"/>
        <w:kinsoku/>
        <w:wordWrap/>
        <w:overflowPunct/>
        <w:topLinePunct w:val="0"/>
        <w:autoSpaceDE/>
        <w:autoSpaceDN/>
        <w:bidi w:val="0"/>
        <w:adjustRightInd/>
        <w:snapToGrid/>
        <w:spacing w:before="4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白酒生产企业任由污水不按环保要求和标准排放，或者贿赂国家环保执法人员，导致水资源污染，影响酿酒品质和河流两边居民生产、生活。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DFDFE"/>
        <w:kinsoku w:val="0"/>
        <w:wordWrap/>
        <w:overflowPunct/>
        <w:topLinePunct w:val="0"/>
        <w:autoSpaceDE w:val="0"/>
        <w:autoSpaceDN w:val="0"/>
        <w:bidi w:val="0"/>
        <w:adjustRightInd w:val="0"/>
        <w:snapToGrid w:val="0"/>
        <w:spacing w:before="0" w:beforeAutospacing="0" w:after="0" w:afterAutospacing="0" w:line="400" w:lineRule="exact"/>
        <w:ind w:left="0" w:right="0" w:firstLine="480" w:firstLineChars="200"/>
        <w:jc w:val="both"/>
        <w:textAlignment w:val="baseline"/>
        <w:rPr>
          <w:rFonts w:hint="eastAsia" w:ascii="方正仿宋_GB2312" w:hAnsi="方正仿宋_GB2312" w:eastAsia="方正仿宋_GB2312" w:cs="方正仿宋_GB2312"/>
          <w:b w:val="0"/>
          <w:bCs w:val="0"/>
          <w:color w:val="000000"/>
          <w:kern w:val="0"/>
          <w:sz w:val="24"/>
          <w:szCs w:val="24"/>
          <w:lang w:val="en-US" w:eastAsia="zh-CN" w:bidi="ar-SA"/>
        </w:rPr>
      </w:pPr>
      <w:r>
        <w:rPr>
          <w:rFonts w:hint="eastAsia" w:ascii="方正仿宋_GB2312" w:hAnsi="方正仿宋_GB2312" w:eastAsia="方正仿宋_GB2312" w:cs="方正仿宋_GB2312"/>
          <w:b w:val="0"/>
          <w:bCs w:val="0"/>
          <w:color w:val="000000"/>
          <w:kern w:val="0"/>
          <w:sz w:val="24"/>
          <w:szCs w:val="24"/>
          <w:lang w:val="en-US" w:eastAsia="zh-CN" w:bidi="ar-SA"/>
        </w:rPr>
        <w:t>6.种植土壤污染</w:t>
      </w:r>
    </w:p>
    <w:p>
      <w:pPr>
        <w:keepNext w:val="0"/>
        <w:keepLines w:val="0"/>
        <w:pageBreakBefore w:val="0"/>
        <w:widowControl w:val="0"/>
        <w:kinsoku/>
        <w:wordWrap/>
        <w:overflowPunct/>
        <w:topLinePunct w:val="0"/>
        <w:autoSpaceDE/>
        <w:autoSpaceDN/>
        <w:bidi w:val="0"/>
        <w:adjustRightInd/>
        <w:snapToGrid/>
        <w:spacing w:before="4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种植过程为了提升产量大量使用化学激素或者喷洒农药，影响酿酒原材料品质，导致产品质量下降。</w:t>
      </w:r>
    </w:p>
    <w:p>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在面临如上所述情况时，企业须建立健全监管机制，严厉惩治腐败现象，并对腐败行为予以惩戒。</w:t>
      </w:r>
    </w:p>
    <w:p>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default" w:asciiTheme="minorEastAsia" w:hAnsiTheme="minorEastAsia" w:eastAsiaTheme="minorEastAsia" w:cstheme="minorEastAsia"/>
          <w:b w:val="0"/>
          <w:bCs w:val="0"/>
          <w:color w:val="000000"/>
          <w:kern w:val="0"/>
          <w:sz w:val="24"/>
          <w:szCs w:val="24"/>
          <w:lang w:val="en-US" w:eastAsia="zh-CN"/>
        </w:rPr>
      </w:pPr>
      <w:r>
        <w:rPr>
          <w:sz w:val="24"/>
        </w:rPr>
        <mc:AlternateContent>
          <mc:Choice Requires="wps">
            <w:drawing>
              <wp:anchor distT="0" distB="0" distL="114300" distR="114300" simplePos="0" relativeHeight="251671552" behindDoc="0" locked="0" layoutInCell="1" allowOverlap="1">
                <wp:simplePos x="0" y="0"/>
                <wp:positionH relativeFrom="column">
                  <wp:posOffset>265430</wp:posOffset>
                </wp:positionH>
                <wp:positionV relativeFrom="paragraph">
                  <wp:posOffset>167640</wp:posOffset>
                </wp:positionV>
                <wp:extent cx="5262245" cy="0"/>
                <wp:effectExtent l="15875" t="15875" r="0" b="22225"/>
                <wp:wrapNone/>
                <wp:docPr id="16" name="直接连接符 16"/>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0.9pt;margin-top:13.2pt;height:0pt;width:414.35pt;z-index:251671552;mso-width-relative:page;mso-height-relative:page;" filled="f" stroked="t" coordsize="21600,21600" o:gfxdata="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4xoqmtQAAAAIAQAADwAAAAAAAAABACAA&#10;AAAiAAAAZHJzL2Rvd25yZXYueG1sUEsBAhQAFAAAAAgAh07iQMMJKYf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before="40" w:line="440" w:lineRule="exact"/>
        <w:ind w:left="0" w:right="0" w:firstLine="468" w:firstLineChars="200"/>
        <w:jc w:val="both"/>
        <w:textAlignment w:val="auto"/>
        <w:rPr>
          <w:rFonts w:hint="eastAsia" w:asciiTheme="minorEastAsia" w:hAnsiTheme="minorEastAsia" w:eastAsiaTheme="minorEastAsia" w:cstheme="minorEastAsia"/>
          <w:spacing w:val="-8"/>
          <w:sz w:val="24"/>
          <w:szCs w:val="24"/>
        </w:rPr>
      </w:pPr>
      <w:r>
        <w:rPr>
          <w:rFonts w:hint="eastAsia" w:asciiTheme="minorEastAsia" w:hAnsiTheme="minorEastAsia" w:cstheme="minorEastAsia"/>
          <w:spacing w:val="-3"/>
          <w:sz w:val="24"/>
          <w:szCs w:val="24"/>
          <w:lang w:val="en-US" w:eastAsia="zh-CN"/>
        </w:rPr>
        <w:t>受到风险的</w:t>
      </w:r>
      <w:r>
        <w:rPr>
          <w:rFonts w:hint="eastAsia" w:asciiTheme="minorEastAsia" w:hAnsiTheme="minorEastAsia" w:eastAsiaTheme="minorEastAsia" w:cstheme="minorEastAsia"/>
          <w:spacing w:val="-3"/>
          <w:sz w:val="24"/>
          <w:szCs w:val="24"/>
          <w:lang w:eastAsia="zh-CN"/>
        </w:rPr>
        <w:t>供应商</w:t>
      </w:r>
      <w:r>
        <w:rPr>
          <w:rFonts w:hint="eastAsia" w:asciiTheme="minorEastAsia" w:hAnsiTheme="minorEastAsia" w:eastAsiaTheme="minorEastAsia" w:cstheme="minorEastAsia"/>
          <w:spacing w:val="-3"/>
          <w:sz w:val="24"/>
          <w:szCs w:val="24"/>
        </w:rPr>
        <w:t>权利受到法律保护，企</w:t>
      </w:r>
      <w:r>
        <w:rPr>
          <w:rFonts w:hint="eastAsia" w:asciiTheme="minorEastAsia" w:hAnsiTheme="minorEastAsia" w:eastAsiaTheme="minorEastAsia" w:cstheme="minorEastAsia"/>
          <w:spacing w:val="-4"/>
          <w:sz w:val="24"/>
          <w:szCs w:val="24"/>
        </w:rPr>
        <w:t>业应当按照法律要求对受到</w:t>
      </w:r>
      <w:r>
        <w:rPr>
          <w:rFonts w:hint="eastAsia" w:asciiTheme="minorEastAsia" w:hAnsiTheme="minorEastAsia" w:cstheme="minorEastAsia"/>
          <w:spacing w:val="-3"/>
          <w:sz w:val="24"/>
          <w:szCs w:val="24"/>
          <w:lang w:eastAsia="zh-CN"/>
        </w:rPr>
        <w:t>风险</w:t>
      </w:r>
      <w:r>
        <w:rPr>
          <w:rFonts w:hint="eastAsia" w:asciiTheme="minorEastAsia" w:hAnsiTheme="minorEastAsia" w:eastAsiaTheme="minorEastAsia" w:cstheme="minorEastAsia"/>
          <w:spacing w:val="-3"/>
          <w:sz w:val="24"/>
          <w:szCs w:val="24"/>
        </w:rPr>
        <w:t>的</w:t>
      </w:r>
      <w:r>
        <w:rPr>
          <w:rFonts w:hint="eastAsia" w:asciiTheme="minorEastAsia" w:hAnsiTheme="minorEastAsia" w:eastAsiaTheme="minorEastAsia" w:cstheme="minorEastAsia"/>
          <w:spacing w:val="-3"/>
          <w:sz w:val="24"/>
          <w:szCs w:val="24"/>
          <w:lang w:eastAsia="zh-CN"/>
        </w:rPr>
        <w:t>供应商</w:t>
      </w:r>
      <w:r>
        <w:rPr>
          <w:rFonts w:hint="eastAsia" w:asciiTheme="minorEastAsia" w:hAnsiTheme="minorEastAsia" w:eastAsiaTheme="minorEastAsia" w:cstheme="minorEastAsia"/>
          <w:spacing w:val="-3"/>
          <w:sz w:val="24"/>
          <w:szCs w:val="24"/>
        </w:rPr>
        <w:t>进行补救，补救方式包括但不限于恢复原状、</w:t>
      </w:r>
      <w:r>
        <w:rPr>
          <w:rFonts w:hint="eastAsia" w:asciiTheme="minorEastAsia" w:hAnsiTheme="minorEastAsia" w:eastAsiaTheme="minorEastAsia" w:cstheme="minorEastAsia"/>
          <w:spacing w:val="-4"/>
          <w:sz w:val="24"/>
          <w:szCs w:val="24"/>
        </w:rPr>
        <w:t>经济赔偿、解雇对</w:t>
      </w:r>
      <w:r>
        <w:rPr>
          <w:rFonts w:hint="eastAsia" w:asciiTheme="minorEastAsia" w:hAnsiTheme="minorEastAsia" w:cstheme="minorEastAsia"/>
          <w:spacing w:val="-2"/>
          <w:sz w:val="24"/>
          <w:szCs w:val="24"/>
          <w:lang w:eastAsia="zh-CN"/>
        </w:rPr>
        <w:t>风险</w:t>
      </w:r>
      <w:r>
        <w:rPr>
          <w:rFonts w:hint="eastAsia" w:asciiTheme="minorEastAsia" w:hAnsiTheme="minorEastAsia" w:eastAsiaTheme="minorEastAsia" w:cstheme="minorEastAsia"/>
          <w:spacing w:val="-2"/>
          <w:sz w:val="24"/>
          <w:szCs w:val="24"/>
        </w:rPr>
        <w:t>负责的</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2"/>
          <w:sz w:val="24"/>
          <w:szCs w:val="24"/>
        </w:rPr>
        <w:t>。在这个过程中，还应当征询受到</w:t>
      </w:r>
      <w:r>
        <w:rPr>
          <w:rFonts w:hint="eastAsia" w:asciiTheme="minorEastAsia" w:hAnsiTheme="minorEastAsia" w:cstheme="minorEastAsia"/>
          <w:spacing w:val="-2"/>
          <w:sz w:val="24"/>
          <w:szCs w:val="24"/>
          <w:lang w:eastAsia="zh-CN"/>
        </w:rPr>
        <w:t>风险</w:t>
      </w:r>
      <w:r>
        <w:rPr>
          <w:rFonts w:hint="eastAsia" w:asciiTheme="minorEastAsia" w:hAnsiTheme="minorEastAsia" w:eastAsiaTheme="minorEastAsia" w:cstheme="minorEastAsia"/>
          <w:spacing w:val="-2"/>
          <w:sz w:val="24"/>
          <w:szCs w:val="24"/>
        </w:rPr>
        <w:t>的</w:t>
      </w:r>
      <w:r>
        <w:rPr>
          <w:rFonts w:hint="eastAsia" w:asciiTheme="minorEastAsia" w:hAnsiTheme="minorEastAsia" w:eastAsiaTheme="minorEastAsia" w:cstheme="minorEastAsia"/>
          <w:spacing w:val="-2"/>
          <w:sz w:val="24"/>
          <w:szCs w:val="24"/>
          <w:lang w:eastAsia="zh-CN"/>
        </w:rPr>
        <w:t>供应商</w:t>
      </w:r>
      <w:r>
        <w:rPr>
          <w:rFonts w:hint="eastAsia" w:asciiTheme="minorEastAsia" w:hAnsiTheme="minorEastAsia" w:eastAsiaTheme="minorEastAsia" w:cstheme="minorEastAsia"/>
          <w:spacing w:val="-2"/>
          <w:sz w:val="24"/>
          <w:szCs w:val="24"/>
        </w:rPr>
        <w:t>的意见。</w:t>
      </w:r>
      <w:r>
        <w:rPr>
          <w:rFonts w:hint="eastAsia" w:asciiTheme="minorEastAsia" w:hAnsiTheme="minorEastAsia" w:eastAsiaTheme="minorEastAsia" w:cstheme="minorEastAsia"/>
          <w:spacing w:val="-2"/>
          <w:sz w:val="24"/>
          <w:szCs w:val="24"/>
          <w:lang w:eastAsia="zh-CN"/>
        </w:rPr>
        <w:t>在</w:t>
      </w:r>
      <w:r>
        <w:rPr>
          <w:rFonts w:hint="eastAsia" w:asciiTheme="minorEastAsia" w:hAnsiTheme="minorEastAsia" w:eastAsiaTheme="minorEastAsia" w:cstheme="minorEastAsia"/>
          <w:spacing w:val="-3"/>
          <w:sz w:val="24"/>
          <w:szCs w:val="24"/>
        </w:rPr>
        <w:t>不同时间段，评估</w:t>
      </w:r>
      <w:r>
        <w:rPr>
          <w:rFonts w:hint="eastAsia" w:asciiTheme="minorEastAsia" w:hAnsiTheme="minorEastAsia" w:cstheme="minorEastAsia"/>
          <w:spacing w:val="-3"/>
          <w:sz w:val="24"/>
          <w:szCs w:val="24"/>
          <w:lang w:val="en-US" w:eastAsia="zh-CN"/>
        </w:rPr>
        <w:t>具有</w:t>
      </w:r>
      <w:r>
        <w:rPr>
          <w:rFonts w:hint="eastAsia" w:asciiTheme="minorEastAsia" w:hAnsiTheme="minorEastAsia" w:eastAsiaTheme="minorEastAsia" w:cstheme="minorEastAsia"/>
          <w:spacing w:val="-3"/>
          <w:sz w:val="24"/>
          <w:szCs w:val="24"/>
        </w:rPr>
        <w:t>到</w:t>
      </w:r>
      <w:r>
        <w:rPr>
          <w:rFonts w:hint="eastAsia" w:asciiTheme="minorEastAsia" w:hAnsiTheme="minorEastAsia" w:cstheme="minorEastAsia"/>
          <w:spacing w:val="-3"/>
          <w:sz w:val="24"/>
          <w:szCs w:val="24"/>
          <w:lang w:eastAsia="zh-CN"/>
        </w:rPr>
        <w:t>风险</w:t>
      </w:r>
      <w:r>
        <w:rPr>
          <w:rFonts w:hint="eastAsia" w:asciiTheme="minorEastAsia" w:hAnsiTheme="minorEastAsia" w:eastAsiaTheme="minorEastAsia" w:cstheme="minorEastAsia"/>
          <w:spacing w:val="-3"/>
          <w:sz w:val="24"/>
          <w:szCs w:val="24"/>
        </w:rPr>
        <w:t>的</w:t>
      </w:r>
      <w:r>
        <w:rPr>
          <w:rFonts w:hint="eastAsia" w:asciiTheme="minorEastAsia" w:hAnsiTheme="minorEastAsia" w:eastAsiaTheme="minorEastAsia" w:cstheme="minorEastAsia"/>
          <w:spacing w:val="-3"/>
          <w:sz w:val="24"/>
          <w:szCs w:val="24"/>
          <w:lang w:eastAsia="zh-CN"/>
        </w:rPr>
        <w:t>供应商</w:t>
      </w:r>
      <w:r>
        <w:rPr>
          <w:rFonts w:hint="eastAsia" w:asciiTheme="minorEastAsia" w:hAnsiTheme="minorEastAsia" w:eastAsiaTheme="minorEastAsia" w:cstheme="minorEastAsia"/>
          <w:spacing w:val="-3"/>
          <w:sz w:val="24"/>
          <w:szCs w:val="24"/>
        </w:rPr>
        <w:t>的满意度，是验证补</w:t>
      </w:r>
      <w:r>
        <w:rPr>
          <w:rFonts w:hint="eastAsia" w:asciiTheme="minorEastAsia" w:hAnsiTheme="minorEastAsia" w:eastAsiaTheme="minorEastAsia" w:cstheme="minorEastAsia"/>
          <w:spacing w:val="-4"/>
          <w:sz w:val="24"/>
          <w:szCs w:val="24"/>
        </w:rPr>
        <w:t>救是否适当的重要</w:t>
      </w:r>
      <w:r>
        <w:rPr>
          <w:rFonts w:hint="eastAsia" w:asciiTheme="minorEastAsia" w:hAnsiTheme="minorEastAsia" w:eastAsiaTheme="minorEastAsia" w:cstheme="minorEastAsia"/>
          <w:spacing w:val="-8"/>
          <w:sz w:val="24"/>
          <w:szCs w:val="24"/>
        </w:rPr>
        <w:t>方式。</w:t>
      </w:r>
    </w:p>
    <w:p>
      <w:pPr>
        <w:spacing w:before="78" w:line="222" w:lineRule="auto"/>
        <w:ind w:left="2165"/>
        <w:jc w:val="both"/>
        <w:rPr>
          <w:rFonts w:hint="default" w:ascii="方正仿宋_GB2312" w:hAnsi="方正仿宋_GB2312" w:eastAsia="方正仿宋_GB2312" w:cs="方正仿宋_GB2312"/>
          <w:b w:val="0"/>
          <w:bCs w:val="0"/>
          <w:color w:val="000000"/>
          <w:kern w:val="0"/>
          <w:sz w:val="24"/>
          <w:szCs w:val="24"/>
          <w:lang w:val="en-US" w:eastAsia="zh-CN"/>
        </w:rPr>
      </w:pPr>
      <w:bookmarkStart w:id="76" w:name="_Toc25127"/>
      <w:r>
        <w:rPr>
          <w:rFonts w:hint="eastAsia" w:ascii="方正仿宋_GB2312" w:hAnsi="方正仿宋_GB2312" w:eastAsia="方正仿宋_GB2312" w:cs="方正仿宋_GB2312"/>
          <w:b w:val="0"/>
          <w:bCs w:val="0"/>
          <w:color w:val="000000"/>
          <w:kern w:val="0"/>
          <w:sz w:val="24"/>
          <w:szCs w:val="24"/>
          <w:lang w:val="en-US" w:eastAsia="zh-CN"/>
        </w:rPr>
        <w:t>表5-</w:t>
      </w:r>
      <w:bookmarkEnd w:id="76"/>
      <w:r>
        <w:rPr>
          <w:rFonts w:hint="eastAsia" w:ascii="方正仿宋_GB2312" w:hAnsi="方正仿宋_GB2312" w:eastAsia="方正仿宋_GB2312" w:cs="方正仿宋_GB2312"/>
          <w:b w:val="0"/>
          <w:bCs w:val="0"/>
          <w:color w:val="000000"/>
          <w:kern w:val="0"/>
          <w:sz w:val="24"/>
          <w:szCs w:val="24"/>
          <w:lang w:val="en-US" w:eastAsia="zh-CN"/>
        </w:rPr>
        <w:t>4重点风险领域企业补救方式示例</w:t>
      </w:r>
    </w:p>
    <w:tbl>
      <w:tblPr>
        <w:tblStyle w:val="8"/>
        <w:tblW w:w="0" w:type="auto"/>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7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风险领域</w:t>
            </w:r>
          </w:p>
        </w:tc>
        <w:tc>
          <w:tcPr>
            <w:tcW w:w="7043"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补救措施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bookmarkStart w:id="77" w:name="_Toc12409"/>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种植和土壤风险</w:t>
            </w:r>
          </w:p>
        </w:tc>
        <w:tc>
          <w:tcPr>
            <w:tcW w:w="7043"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改善土壤结构：通过施用有机肥料和绿肥，增加土壤有机质含量，改善土壤的物理和化学性质，提高土壤的保水保肥能力。</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合理轮作和间作：实施轮作和间作制度，减少连作障碍，有效控制病虫害的发生，同时有助于改善土壤结构和增加土壤肥力。</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土壤盐碱化治理：采用深翻、灌溉冲洗盐分、施用腐植酸钠等措施，降低土壤盐分，改善土壤环境。</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生物防治和生物修复：利用生物措施进行病虫害防治和土壤修复，如施用微生物菌剂改善土壤环境，提高土壤自净能力。</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保持土壤覆盖：通过覆盖作物残体、秸秆或使用地膜等措施，减少水土流失，防止土壤侵蚀。</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提高土壤肥力管理：科学施肥，合理搭配化肥和有机肥，避免因施肥不当导致的土壤退化。</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建设排水和灌溉系统：合理设计排水系统，防止水土流失和土地沙化；同时，采用节水灌溉技术如滴灌、喷灌等，提高灌溉效率，减少水资源浪费。</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采用抗逆性强的品种：选用适应性强、抗病虫害能力好的作物品种，提高作物的生存率和产量。</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土壤监测与管理：定期对土壤进行检测，了解土壤肥力和污染状况，根据土壤测试结果调整管理措施。</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w:t>
            </w:r>
            <w:r>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提高农户培训和知识普及：加强对农户的技术培训，提高他们的土壤管理和环境保护意识，鼓励采用可持续的农业实践方法。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default" w:ascii="方正仿宋_GB2312" w:hAnsi="方正仿宋_GB2312" w:eastAsia="方正仿宋_GB2312" w:cs="方正仿宋_GB2312"/>
                <w:b w:val="0"/>
                <w:bCs w:val="0"/>
                <w:color w:val="FF0000"/>
                <w:kern w:val="0"/>
                <w:sz w:val="24"/>
                <w:szCs w:val="24"/>
                <w:lang w:val="en-US" w:eastAsia="zh-CN"/>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采购风险</w:t>
            </w:r>
          </w:p>
        </w:tc>
        <w:tc>
          <w:tcPr>
            <w:tcW w:w="7043"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供应商多元化：不依赖单一供应商，寻找和认证多个供应商，以防一个供应商出现问题时能迅速转向其他供应商。</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建立应急库存：对于关键原料，建立适量的应急库存，以备不时之需，确保生产线不因缺料而停产。</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供应链合作：与供应商建立紧密的合作关系，共同规划和应对可能的风险，包括价格波动、供应不稳定等问题。</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合同管理：在采购合同中加入风险分担条款，如违约赔偿、质量保证等，以减轻因供应商问题造成的损失。</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质量控制和审计：定期对供应商的产品质量进行检测，并进行现场审计，以确保供应商持续满足企业标准。</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市场和价格监测：持续监测市场价格和供应情况，以便及时调整采购策略，避免成本上升和供应短缺。</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替代品研究：研究和测试原材料的替代品，以便在原有供应链出现问题时，能快速切换到替代品，保证生产不受影响。</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加强内部管理：提高内部管理和操作效率，包括采购流程、库存管理等，以降低因管理不善带来的风险。</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cs="方正仿宋_GB2312" w:eastAsiaTheme="minorEastAsia"/>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风险评估和应对计划：定期进行供应链风险评估，并制定详细的应对计划，确保在风险发生时能迅速有效地应对</w:t>
            </w:r>
            <w:r>
              <w:rPr>
                <w:rFonts w:hint="eastAsia" w:ascii="方正仿宋_GB2312" w:hAnsi="方正仿宋_GB2312" w:eastAsia="方正仿宋_GB2312" w:cs="方正仿宋_GB2312"/>
                <w:b w:val="0"/>
                <w:bCs w:val="0"/>
                <w:color w:val="auto"/>
                <w:kern w:val="0"/>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合规风险</w:t>
            </w:r>
          </w:p>
        </w:tc>
        <w:tc>
          <w:tcPr>
            <w:tcW w:w="7043" w:type="dxa"/>
            <w:tcBorders>
              <w:tl2br w:val="nil"/>
              <w:tr2bl w:val="nil"/>
            </w:tcBorders>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●迅速响应</w:t>
            </w:r>
            <w:r>
              <w:rPr>
                <w:rFonts w:hint="default" w:ascii="方正仿宋_GB2312" w:hAnsi="方正仿宋_GB2312" w:eastAsia="方正仿宋_GB2312" w:cs="方正仿宋_GB2312"/>
                <w:b w:val="0"/>
                <w:bCs w:val="0"/>
                <w:color w:val="auto"/>
                <w:kern w:val="0"/>
                <w:sz w:val="24"/>
                <w:szCs w:val="24"/>
                <w:lang w:val="en-US" w:eastAsia="zh-CN"/>
              </w:rPr>
              <w:t>：一旦发现合规问题，立即组建应急团队，评估情况，并迅速响应以减少损害。</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法律顾问咨询：寻求专业法律顾问的建议，确保所有补救措施都在法律框架内进行。</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彻查问题根源：深入调查导致合规问题的根本原因，是否是流程、管理、监督不足，或是员工培训不当所致。</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加强内部控制和监督：根据调查结果，加强内部控制和监督机制，确保所有业务流程都符合法律法规和行业标准。</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员工培训和教育：加大对员工的合规培训和教育力度，提高他们的合规意识和风险防范能力。</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left"/>
              <w:textAlignment w:val="auto"/>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default" w:ascii="方正仿宋_GB2312" w:hAnsi="方正仿宋_GB2312" w:eastAsia="方正仿宋_GB2312" w:cs="方正仿宋_GB2312"/>
                <w:b w:val="0"/>
                <w:bCs w:val="0"/>
                <w:color w:val="auto"/>
                <w:kern w:val="0"/>
                <w:sz w:val="24"/>
                <w:szCs w:val="24"/>
                <w:lang w:val="en-US" w:eastAsia="zh-CN"/>
              </w:rPr>
              <w:t>及时沟通：与监管机构、客户、合作伙伴等相关方进行及时沟通，说明情况并承诺采取改正措施。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原材料管理风险</w:t>
            </w:r>
          </w:p>
        </w:tc>
        <w:tc>
          <w:tcPr>
            <w:tcW w:w="7043" w:type="dxa"/>
            <w:tcBorders>
              <w:tl2br w:val="nil"/>
              <w:tr2bl w:val="nil"/>
            </w:tcBorders>
          </w:tcPr>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●建立稳定的供应商关系</w:t>
            </w:r>
            <w:r>
              <w:rPr>
                <w:rFonts w:hint="default" w:ascii="方正仿宋_GB2312" w:hAnsi="方正仿宋_GB2312" w:eastAsia="方正仿宋_GB2312" w:cs="方正仿宋_GB2312"/>
                <w:b w:val="0"/>
                <w:bCs w:val="0"/>
                <w:color w:val="000000"/>
                <w:kern w:val="0"/>
                <w:sz w:val="24"/>
                <w:szCs w:val="24"/>
                <w:lang w:val="en-US" w:eastAsia="zh-CN"/>
              </w:rPr>
              <w:t>：通过签订长期合约、建立良好的合作关系来确保原材料的稳定供应。</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多元化采购策略：不依赖单一供应商或来源，通过多样化采购策略减少供应中断的风险。</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建立原材料库存：适量增加关键原材料的库存，作为应对突发供应问题的缓冲。</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质量控制和审计：加强对供应商的质量控制和审计，确保原材料符合生产标准和要求。</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供应链风险管理：实施供应链风险管理策略，对潜在的供应风险进行识别、评估和应对。</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合同管理：在供应合同中加入风险分担和违约赔偿条款，以法律手段保障企业权益。</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建立应急预案：制定原材料管理的应急预案，包括备选供应商列表、临时替代原材料的使用方法等，确保在面对供应风险时能快速反应。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廉洁风险</w:t>
            </w:r>
          </w:p>
        </w:tc>
        <w:tc>
          <w:tcPr>
            <w:tcW w:w="7043" w:type="dxa"/>
            <w:tcBorders>
              <w:tl2br w:val="nil"/>
              <w:tr2bl w:val="nil"/>
            </w:tcBorders>
          </w:tcPr>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eastAsia" w:ascii="方正仿宋_GB2312" w:hAnsi="方正仿宋_GB2312" w:eastAsia="方正仿宋_GB2312" w:cs="方正仿宋_GB2312"/>
                <w:b w:val="0"/>
                <w:bCs w:val="0"/>
                <w:color w:val="000000"/>
                <w:kern w:val="0"/>
                <w:sz w:val="24"/>
                <w:szCs w:val="24"/>
                <w:lang w:val="en-US" w:eastAsia="zh-CN"/>
              </w:rPr>
              <w:t>企业加强对员工的廉洁教育，提高员工的廉洁意识和道德素质。通过开展廉政教育活动、组织廉政知识培训等方式，增强员工的廉洁自律意识，减少廉洁风险的发生。</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eastAsia" w:ascii="方正仿宋_GB2312" w:hAnsi="方正仿宋_GB2312" w:eastAsia="方正仿宋_GB2312" w:cs="方正仿宋_GB2312"/>
                <w:b w:val="0"/>
                <w:bCs w:val="0"/>
                <w:color w:val="000000"/>
                <w:kern w:val="0"/>
                <w:sz w:val="24"/>
                <w:szCs w:val="24"/>
                <w:lang w:val="en-US" w:eastAsia="zh-CN"/>
              </w:rPr>
              <w:t>企业应完善内部监督机制，加强对权力运行的监督和制约。通过设立内部审计机构、建立举报奖励制度等方式，鼓励员工积极参与监督，及时发现和纠正违规行为。</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eastAsia" w:ascii="方正仿宋_GB2312" w:hAnsi="方正仿宋_GB2312" w:eastAsia="方正仿宋_GB2312" w:cs="方正仿宋_GB2312"/>
                <w:b w:val="0"/>
                <w:bCs w:val="0"/>
                <w:color w:val="FF0000"/>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w:t>
            </w:r>
            <w:r>
              <w:rPr>
                <w:rFonts w:hint="eastAsia" w:ascii="方正仿宋_GB2312" w:hAnsi="方正仿宋_GB2312" w:eastAsia="方正仿宋_GB2312" w:cs="方正仿宋_GB2312"/>
                <w:b w:val="0"/>
                <w:bCs w:val="0"/>
                <w:color w:val="000000"/>
                <w:kern w:val="0"/>
                <w:sz w:val="24"/>
                <w:szCs w:val="24"/>
                <w:lang w:val="en-US" w:eastAsia="zh-CN"/>
              </w:rPr>
              <w:t>企业应强化制度建设，完善内部管理制度和流程。通过制定完善的财务管理制度、采购管理制度、人事管理制度等，规范企业的经营管理行为，减少腐败和舞弊行为的发生。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default"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仓储物流风险</w:t>
            </w:r>
          </w:p>
        </w:tc>
        <w:tc>
          <w:tcPr>
            <w:tcW w:w="7043" w:type="dxa"/>
            <w:tcBorders>
              <w:tl2br w:val="nil"/>
              <w:tr2bl w:val="nil"/>
            </w:tcBorders>
          </w:tcPr>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●增强仓储条件的监控</w:t>
            </w:r>
            <w:r>
              <w:rPr>
                <w:rFonts w:hint="default" w:ascii="方正仿宋_GB2312" w:hAnsi="方正仿宋_GB2312" w:eastAsia="方正仿宋_GB2312" w:cs="方正仿宋_GB2312"/>
                <w:b w:val="0"/>
                <w:bCs w:val="0"/>
                <w:color w:val="000000"/>
                <w:kern w:val="0"/>
                <w:sz w:val="24"/>
                <w:szCs w:val="24"/>
                <w:lang w:val="en-US" w:eastAsia="zh-CN"/>
              </w:rPr>
              <w:t>：定期检查仓库的环境条件，如温度、湿度等，确保它们处于适宜原材料储存的范围内。使用先进的监控系统，实时监测仓储环境。</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改进仓储设施：对现有仓储设施进行评估和改进，如加强防潮、防虫害和防霉变措施，保证原材料的质量安全。</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优化库存管理：采用先进入先出（FIFO）等库存管理方法，减少原材料过期的风险。同时，通过合理的库存水平管理，避免过度库存或库存短缺。</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建立应急预案：制定详细的应急预案，包括原材料受损时的快速响应措施、替代供应商的联系信息等，以减轻突发事件对生产的影响。</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加强供应链管理：与供应商建立稳定的合作关系，进行风险评估，确保供应链的稳定性。同时，探索多元化的供应渠道，减少对单一供应商的依赖。</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提高物流效率：优化物流运输路线，选择信誉好、服务质量高的物流合作伙伴，减少运输过程中的损失风险。</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采用先进的信息技术：利用信息技术，如物联网（IoT）、大数据分析等，提高仓储和物流管理的效率和透明度。</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员工培训：定期对员工进行仓储管理和应急处理的培训，提高他们的风险意识和处理突发事件的能力。</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保险覆盖：为原材料的仓储和物流环节购买保险，以减轻因突发事件导致的经济损失。</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cs="方正仿宋_GB2312" w:eastAsiaTheme="minorEastAsia"/>
                <w:b w:val="0"/>
                <w:bCs w:val="0"/>
                <w:color w:val="auto"/>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进行定期审计：定期对仓储物流系统进行审计，识别潜在的风险点，及时采取措施进行整改</w:t>
            </w:r>
            <w:r>
              <w:rPr>
                <w:rFonts w:hint="eastAsia" w:ascii="方正仿宋_GB2312" w:hAnsi="方正仿宋_GB2312" w:eastAsia="方正仿宋_GB2312" w:cs="方正仿宋_GB2312"/>
                <w:b w:val="0"/>
                <w:bCs w:val="0"/>
                <w:color w:val="000000"/>
                <w:kern w:val="0"/>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数据泄露</w:t>
            </w:r>
          </w:p>
          <w:p>
            <w:pPr>
              <w:keepNext w:val="0"/>
              <w:keepLines w:val="0"/>
              <w:pageBreakBefore w:val="0"/>
              <w:widowControl w:val="0"/>
              <w:kinsoku/>
              <w:wordWrap/>
              <w:overflowPunct/>
              <w:topLinePunct w:val="0"/>
              <w:autoSpaceDE/>
              <w:autoSpaceDN/>
              <w:bidi w:val="0"/>
              <w:adjustRightInd/>
              <w:snapToGrid/>
              <w:spacing w:before="236" w:line="400" w:lineRule="exact"/>
              <w:ind w:right="-82" w:rightChars="0"/>
              <w:jc w:val="center"/>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数据资产闲置风险</w:t>
            </w:r>
            <w:bookmarkEnd w:id="77"/>
          </w:p>
        </w:tc>
        <w:tc>
          <w:tcPr>
            <w:tcW w:w="7043" w:type="dxa"/>
            <w:tcBorders>
              <w:tl2br w:val="nil"/>
              <w:tr2bl w:val="nil"/>
            </w:tcBorders>
          </w:tcPr>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bCs/>
                <w:color w:val="000000"/>
                <w:kern w:val="0"/>
                <w:sz w:val="24"/>
                <w:szCs w:val="24"/>
                <w:lang w:val="en-US" w:eastAsia="zh-CN"/>
              </w:rPr>
            </w:pPr>
            <w:r>
              <w:rPr>
                <w:rFonts w:hint="default" w:ascii="方正仿宋_GB2312" w:hAnsi="方正仿宋_GB2312" w:eastAsia="方正仿宋_GB2312" w:cs="方正仿宋_GB2312"/>
                <w:b/>
                <w:bCs/>
                <w:color w:val="000000"/>
                <w:kern w:val="0"/>
                <w:sz w:val="24"/>
                <w:szCs w:val="24"/>
                <w:lang w:val="en-US" w:eastAsia="zh-CN"/>
              </w:rPr>
              <w:t>针对数据泄露的补救措施：</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bookmarkStart w:id="78" w:name="_Toc31310"/>
            <w:r>
              <w:rPr>
                <w:rFonts w:hint="eastAsia" w:ascii="方正仿宋_GB2312" w:hAnsi="方正仿宋_GB2312" w:eastAsia="方正仿宋_GB2312" w:cs="方正仿宋_GB2312"/>
                <w:b w:val="0"/>
                <w:bCs w:val="0"/>
                <w:color w:val="000000"/>
                <w:kern w:val="0"/>
                <w:sz w:val="24"/>
                <w:szCs w:val="24"/>
                <w:lang w:val="en-US" w:eastAsia="zh-CN"/>
              </w:rPr>
              <w:t>●</w:t>
            </w:r>
            <w:bookmarkEnd w:id="78"/>
            <w:r>
              <w:rPr>
                <w:rFonts w:hint="default" w:ascii="方正仿宋_GB2312" w:hAnsi="方正仿宋_GB2312" w:eastAsia="方正仿宋_GB2312" w:cs="方正仿宋_GB2312"/>
                <w:b w:val="0"/>
                <w:bCs w:val="0"/>
                <w:color w:val="000000"/>
                <w:kern w:val="0"/>
                <w:sz w:val="24"/>
                <w:szCs w:val="24"/>
                <w:lang w:val="en-US" w:eastAsia="zh-CN"/>
              </w:rPr>
              <w:t>立即响应：一旦发现数据泄露，应立即启动应急计划，隔离受影响的系统，防止进一步的数据丢失。</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评估影响：对数据泄露的影响进行全面评估，确定哪些数据被泄露，泄露的原因，以及可能的后果。</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通知利益相关方：依照相关法律法规和公司政策，及时向受影响的客户、合作伙伴及监管机构报告数据泄露事件。</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加强安全措施：增加网络安全防护，如升级防火墙、使用入侵检测系统、加密敏感数据等，以防止未来的数据泄露。</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员工培训：加强对员工的信息安全意识培训，确保他们了解如何安全处理敏感数据。</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bCs/>
                <w:color w:val="000000"/>
                <w:kern w:val="0"/>
                <w:sz w:val="24"/>
                <w:szCs w:val="24"/>
                <w:lang w:val="en-US" w:eastAsia="zh-CN"/>
              </w:rPr>
            </w:pPr>
            <w:r>
              <w:rPr>
                <w:rFonts w:hint="default" w:ascii="方正仿宋_GB2312" w:hAnsi="方正仿宋_GB2312" w:eastAsia="方正仿宋_GB2312" w:cs="方正仿宋_GB2312"/>
                <w:b/>
                <w:bCs/>
                <w:color w:val="000000"/>
                <w:kern w:val="0"/>
                <w:sz w:val="24"/>
                <w:szCs w:val="24"/>
                <w:lang w:val="en-US" w:eastAsia="zh-CN"/>
              </w:rPr>
              <w:t>针对数据资产闲置的补救措施：</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数据清理：定期进行数据清理，删除或归档不再需要的数据，避免无用数据的积累导致管理混乱和资源浪费。</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数据整合：通过数据整合，消除数据孤岛，提高数据资产的使用效率和价值。</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数据分析利用：利用数据分析工具和技术，挖掘闲置数据的潜在价值，转化为可用的业务洞察。</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建立数据治理机制：制定有效的数据治理政策，包括数据采集、存储、使用和维护的标准流程，确保数据资产的有效管理和利用。</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投资数据管理技术：投资先进的数据管理和分析工具，帮助企业更好地管理和利用数据资产。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center"/>
              <w:textAlignment w:val="auto"/>
              <w:rPr>
                <w:rFonts w:hint="eastAsia"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水资源风险</w:t>
            </w:r>
          </w:p>
        </w:tc>
        <w:tc>
          <w:tcPr>
            <w:tcW w:w="7043" w:type="dxa"/>
            <w:tcBorders>
              <w:tl2br w:val="nil"/>
              <w:tr2bl w:val="nil"/>
            </w:tcBorders>
          </w:tcPr>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default" w:ascii="方正仿宋_GB2312" w:hAnsi="方正仿宋_GB2312" w:eastAsia="方正仿宋_GB2312" w:cs="方正仿宋_GB2312"/>
                <w:b w:val="0"/>
                <w:bCs w:val="0"/>
                <w:color w:val="000000"/>
                <w:kern w:val="0"/>
                <w:sz w:val="24"/>
                <w:szCs w:val="24"/>
                <w:lang w:val="en-US" w:eastAsia="zh-CN"/>
              </w:rPr>
              <w:t>1. 水资源评估和监测</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对当前使用的水资源进行全面评估，包括水质、水量和可持续性。</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建立水资源监测系统，实时监控水质和水量的变化。</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default" w:ascii="方正仿宋_GB2312" w:hAnsi="方正仿宋_GB2312" w:eastAsia="方正仿宋_GB2312" w:cs="方正仿宋_GB2312"/>
                <w:b w:val="0"/>
                <w:bCs w:val="0"/>
                <w:color w:val="000000"/>
                <w:kern w:val="0"/>
                <w:sz w:val="24"/>
                <w:szCs w:val="24"/>
                <w:lang w:val="en-US" w:eastAsia="zh-CN"/>
              </w:rPr>
              <w:t>2. 提高水资源利用效率</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采用节水技术和设备，减少生产过程中的水耗。</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重用和回收生产过程中的废水，例如通过先进的废水处理技术，将废水处理成符合安全标准的再生水用于生产或清洁。</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3</w:t>
            </w:r>
            <w:r>
              <w:rPr>
                <w:rFonts w:hint="default" w:ascii="方正仿宋_GB2312" w:hAnsi="方正仿宋_GB2312" w:eastAsia="方正仿宋_GB2312" w:cs="方正仿宋_GB2312"/>
                <w:b w:val="0"/>
                <w:bCs w:val="0"/>
                <w:color w:val="000000"/>
                <w:kern w:val="0"/>
                <w:sz w:val="24"/>
                <w:szCs w:val="24"/>
                <w:lang w:val="en-US" w:eastAsia="zh-CN"/>
              </w:rPr>
              <w:t>. 水资源风险管理计划</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制定详细的水资源风险管理计划，包括风险识别、风险评估和应对策略。</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建立应急预案，以应对突发的水资源短缺或污染事件。</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4</w:t>
            </w:r>
            <w:r>
              <w:rPr>
                <w:rFonts w:hint="default" w:ascii="方正仿宋_GB2312" w:hAnsi="方正仿宋_GB2312" w:eastAsia="方正仿宋_GB2312" w:cs="方正仿宋_GB2312"/>
                <w:b w:val="0"/>
                <w:bCs w:val="0"/>
                <w:color w:val="000000"/>
                <w:kern w:val="0"/>
                <w:sz w:val="24"/>
                <w:szCs w:val="24"/>
                <w:lang w:val="en-US" w:eastAsia="zh-CN"/>
              </w:rPr>
              <w:t>. 加强水资源管理和保护</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在企业内部加强水资源管理意识，进行定期培训，提升员工对水资源保护的认识。</w:t>
            </w:r>
          </w:p>
          <w:p>
            <w:pPr>
              <w:keepNext w:val="0"/>
              <w:keepLines w:val="0"/>
              <w:pageBreakBefore w:val="0"/>
              <w:widowControl w:val="0"/>
              <w:numPr>
                <w:ilvl w:val="0"/>
                <w:numId w:val="0"/>
              </w:numPr>
              <w:kinsoku/>
              <w:wordWrap/>
              <w:overflowPunct/>
              <w:topLinePunct w:val="0"/>
              <w:autoSpaceDE/>
              <w:autoSpaceDN/>
              <w:bidi w:val="0"/>
              <w:adjustRightInd/>
              <w:snapToGrid/>
              <w:spacing w:before="236" w:line="400" w:lineRule="exact"/>
              <w:ind w:leftChars="0" w:right="-82" w:rightChars="0"/>
              <w:jc w:val="both"/>
              <w:textAlignment w:val="auto"/>
              <w:rPr>
                <w:rFonts w:hint="default" w:ascii="方正仿宋_GB2312" w:hAnsi="方正仿宋_GB2312" w:eastAsia="方正仿宋_GB2312" w:cs="方正仿宋_GB2312"/>
                <w:b w:val="0"/>
                <w:bCs w:val="0"/>
                <w:color w:val="000000"/>
                <w:kern w:val="0"/>
                <w:sz w:val="24"/>
                <w:szCs w:val="24"/>
                <w:lang w:val="en-US" w:eastAsia="zh-CN"/>
              </w:rPr>
            </w:pPr>
            <w:r>
              <w:rPr>
                <w:rFonts w:hint="eastAsia" w:ascii="方正仿宋_GB2312" w:hAnsi="方正仿宋_GB2312" w:eastAsia="方正仿宋_GB2312" w:cs="方正仿宋_GB2312"/>
                <w:b w:val="0"/>
                <w:bCs w:val="0"/>
                <w:color w:val="000000"/>
                <w:kern w:val="0"/>
                <w:sz w:val="24"/>
                <w:szCs w:val="24"/>
                <w:lang w:val="en-US" w:eastAsia="zh-CN"/>
              </w:rPr>
              <w:t>●</w:t>
            </w:r>
            <w:r>
              <w:rPr>
                <w:rFonts w:hint="default" w:ascii="方正仿宋_GB2312" w:hAnsi="方正仿宋_GB2312" w:eastAsia="方正仿宋_GB2312" w:cs="方正仿宋_GB2312"/>
                <w:b w:val="0"/>
                <w:bCs w:val="0"/>
                <w:color w:val="000000"/>
                <w:kern w:val="0"/>
                <w:sz w:val="24"/>
                <w:szCs w:val="24"/>
                <w:lang w:val="en-US" w:eastAsia="zh-CN"/>
              </w:rPr>
              <w:t>参与或支持水资源保护项目，与政府、非政府组织和社区合作，共同保护和恢复当地的水资源。</w:t>
            </w:r>
          </w:p>
        </w:tc>
      </w:tr>
    </w:tbl>
    <w:p>
      <w:pPr>
        <w:keepNext w:val="0"/>
        <w:keepLines w:val="0"/>
        <w:pageBreakBefore w:val="0"/>
        <w:widowControl w:val="0"/>
        <w:kinsoku/>
        <w:wordWrap/>
        <w:overflowPunct/>
        <w:topLinePunct w:val="0"/>
        <w:autoSpaceDE/>
        <w:autoSpaceDN/>
        <w:bidi w:val="0"/>
        <w:adjustRightInd/>
        <w:snapToGrid/>
        <w:spacing w:before="236" w:line="400" w:lineRule="exact"/>
        <w:ind w:right="680" w:firstLine="460" w:firstLineChars="200"/>
        <w:jc w:val="both"/>
        <w:textAlignment w:val="auto"/>
        <w:rPr>
          <w:rFonts w:hint="eastAsia" w:asciiTheme="minorEastAsia" w:hAnsiTheme="minorEastAsia" w:eastAsiaTheme="minorEastAsia" w:cstheme="minorEastAsia"/>
          <w:spacing w:val="-5"/>
          <w:sz w:val="24"/>
          <w:szCs w:val="24"/>
          <w:lang w:val="en-US" w:eastAsia="zh-CN"/>
          <w14:textOutline w14:w="4358" w14:cap="sq" w14:cmpd="sng">
            <w14:solidFill>
              <w14:srgbClr w14:val="000000"/>
            </w14:solidFill>
            <w14:prstDash w14:val="solid"/>
            <w14:bevel/>
          </w14:textOutline>
        </w:rPr>
      </w:pPr>
      <w:r>
        <w:rPr>
          <w:rFonts w:hint="eastAsia" w:asciiTheme="minorEastAsia" w:hAnsiTheme="minorEastAsia" w:eastAsiaTheme="minorEastAsia" w:cstheme="minorEastAsia"/>
          <w:spacing w:val="-5"/>
          <w:sz w:val="24"/>
          <w:szCs w:val="24"/>
          <w:lang w:val="en-US" w:eastAsia="zh-CN"/>
          <w14:textOutline w14:w="4358" w14:cap="sq" w14:cmpd="sng">
            <w14:solidFill>
              <w14:srgbClr w14:val="000000"/>
            </w14:solidFill>
            <w14:prstDash w14:val="solid"/>
            <w14:bevel/>
          </w14:textOutline>
        </w:rPr>
        <w:t>实用行动</w:t>
      </w:r>
    </w:p>
    <w:p>
      <w:pPr>
        <w:keepNext w:val="0"/>
        <w:keepLines w:val="0"/>
        <w:pageBreakBefore w:val="0"/>
        <w:widowControl w:val="0"/>
        <w:kinsoku/>
        <w:wordWrap/>
        <w:overflowPunct/>
        <w:topLinePunct w:val="0"/>
        <w:autoSpaceDE/>
        <w:autoSpaceDN/>
        <w:bidi w:val="0"/>
        <w:adjustRightInd/>
        <w:snapToGrid/>
        <w:spacing w:before="40" w:line="440" w:lineRule="exact"/>
        <w:ind w:left="0" w:right="0" w:firstLine="480" w:firstLineChars="200"/>
        <w:jc w:val="both"/>
        <w:textAlignment w:val="auto"/>
        <w:rPr>
          <w:rFonts w:hint="eastAsia" w:asciiTheme="minorEastAsia" w:hAnsi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根据出现的风险的重要程度，实施相应的补救，并建立运营层面的申诉机制。</w:t>
      </w:r>
    </w:p>
    <w:p>
      <w:pPr>
        <w:keepNext w:val="0"/>
        <w:keepLines w:val="0"/>
        <w:pageBreakBefore w:val="0"/>
        <w:widowControl w:val="0"/>
        <w:kinsoku/>
        <w:wordWrap/>
        <w:overflowPunct/>
        <w:topLinePunct w:val="0"/>
        <w:autoSpaceDE/>
        <w:autoSpaceDN/>
        <w:bidi w:val="0"/>
        <w:adjustRightInd/>
        <w:snapToGrid/>
        <w:spacing w:before="40" w:line="440" w:lineRule="exact"/>
        <w:ind w:left="0" w:right="0" w:firstLine="480" w:firstLineChars="200"/>
        <w:jc w:val="both"/>
        <w:textAlignment w:val="auto"/>
        <w:rPr>
          <w:rFonts w:hint="eastAsia" w:asciiTheme="minorEastAsia" w:hAnsi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按法律要求完善补救措施，可以采用恢复原状、经济补偿、及时追责等方式。</w:t>
      </w:r>
    </w:p>
    <w:p>
      <w:pPr>
        <w:keepNext w:val="0"/>
        <w:keepLines w:val="0"/>
        <w:pageBreakBefore w:val="0"/>
        <w:widowControl w:val="0"/>
        <w:kinsoku/>
        <w:wordWrap/>
        <w:overflowPunct/>
        <w:topLinePunct w:val="0"/>
        <w:autoSpaceDE/>
        <w:autoSpaceDN/>
        <w:bidi w:val="0"/>
        <w:adjustRightInd/>
        <w:snapToGrid/>
        <w:spacing w:before="40" w:line="440" w:lineRule="exact"/>
        <w:ind w:left="0" w:right="0" w:firstLine="480" w:firstLineChars="200"/>
        <w:jc w:val="both"/>
        <w:textAlignment w:val="auto"/>
        <w:rPr>
          <w:rFonts w:hint="eastAsia" w:asciiTheme="minorEastAsia" w:hAnsi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采取补救措施一定要征得利益相关方代表的意见和建议，确定补救方式。</w:t>
      </w:r>
    </w:p>
    <w:p>
      <w:pPr>
        <w:keepNext w:val="0"/>
        <w:keepLines w:val="0"/>
        <w:pageBreakBefore w:val="0"/>
        <w:widowControl w:val="0"/>
        <w:kinsoku/>
        <w:wordWrap/>
        <w:overflowPunct/>
        <w:topLinePunct w:val="0"/>
        <w:autoSpaceDE/>
        <w:autoSpaceDN/>
        <w:bidi w:val="0"/>
        <w:adjustRightInd/>
        <w:snapToGrid/>
        <w:spacing w:before="40" w:line="440" w:lineRule="exact"/>
        <w:ind w:left="0" w:right="0" w:firstLine="480" w:firstLineChars="200"/>
        <w:jc w:val="both"/>
        <w:textAlignment w:val="auto"/>
        <w:rPr>
          <w:rFonts w:hint="eastAsia" w:asciiTheme="minorEastAsia" w:hAnsi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评估利益相关方对事件处理过程和结果的满意程度。</w:t>
      </w:r>
    </w:p>
    <w:p>
      <w:pPr>
        <w:keepNext w:val="0"/>
        <w:keepLines w:val="0"/>
        <w:pageBreakBefore w:val="0"/>
        <w:widowControl w:val="0"/>
        <w:kinsoku/>
        <w:wordWrap/>
        <w:overflowPunct/>
        <w:topLinePunct w:val="0"/>
        <w:autoSpaceDE/>
        <w:autoSpaceDN/>
        <w:bidi w:val="0"/>
        <w:adjustRightInd/>
        <w:snapToGrid/>
        <w:spacing w:before="40" w:line="440" w:lineRule="exact"/>
        <w:ind w:left="0" w:right="0" w:firstLine="480" w:firstLineChars="200"/>
        <w:jc w:val="both"/>
        <w:textAlignment w:val="auto"/>
        <w:rPr>
          <w:rFonts w:hint="default" w:asciiTheme="minorEastAsia" w:hAnsi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cstheme="minorEastAsia"/>
          <w:b w:val="0"/>
          <w:bCs w:val="0"/>
          <w:color w:val="auto"/>
          <w:kern w:val="0"/>
          <w:sz w:val="24"/>
          <w:szCs w:val="24"/>
          <w:lang w:val="en-US" w:eastAsia="zh-CN"/>
        </w:rPr>
        <w:t>可以采用倡议的方式推动更广泛的影响，防范此类影响再次发生。</w:t>
      </w:r>
    </w:p>
    <w:bookmarkEnd w:id="49"/>
    <w:p>
      <w:pPr>
        <w:pStyle w:val="2"/>
        <w:pageBreakBefore w:val="0"/>
        <w:kinsoku/>
        <w:wordWrap/>
        <w:overflowPunct/>
        <w:topLinePunct w:val="0"/>
        <w:autoSpaceDE/>
        <w:autoSpaceDN/>
        <w:bidi w:val="0"/>
        <w:adjustRightInd/>
        <w:snapToGrid/>
        <w:spacing w:line="420" w:lineRule="exact"/>
        <w:textAlignment w:val="auto"/>
        <w:rPr>
          <w:rFonts w:hint="eastAsia" w:ascii="方正公文黑体" w:hAnsi="方正公文黑体" w:eastAsia="方正公文黑体" w:cs="方正公文黑体"/>
          <w:sz w:val="28"/>
          <w:szCs w:val="28"/>
          <w:lang w:val="en-US" w:eastAsia="zh-CN"/>
        </w:rPr>
      </w:pPr>
      <w:bookmarkStart w:id="79" w:name="_Toc3876"/>
      <w:bookmarkStart w:id="80" w:name="_Toc23052"/>
      <w:r>
        <w:rPr>
          <w:rFonts w:hint="eastAsia" w:ascii="方正公文黑体" w:hAnsi="方正公文黑体" w:eastAsia="方正公文黑体" w:cs="方正公文黑体"/>
          <w:sz w:val="28"/>
          <w:szCs w:val="28"/>
          <w:lang w:val="en-US" w:eastAsia="zh-CN"/>
        </w:rPr>
        <w:t>5.2白酒生产过程尽责管理</w:t>
      </w:r>
      <w:bookmarkEnd w:id="79"/>
      <w:bookmarkEnd w:id="80"/>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81" w:name="_Toc12652"/>
      <w:bookmarkStart w:id="82" w:name="_Toc24548"/>
      <w:bookmarkStart w:id="83" w:name="_Toc20482"/>
      <w:r>
        <w:rPr>
          <w:rFonts w:hint="eastAsia" w:ascii="方正公文黑体" w:hAnsi="方正公文黑体" w:eastAsia="方正公文黑体" w:cs="方正公文黑体"/>
          <w:sz w:val="28"/>
          <w:szCs w:val="28"/>
          <w:lang w:val="en-US" w:eastAsia="zh-CN"/>
        </w:rPr>
        <w:t>5.2.1将白酒生产尽责管理融入企业政策与管理体系</w:t>
      </w:r>
      <w:bookmarkEnd w:id="81"/>
      <w:bookmarkEnd w:id="82"/>
      <w:bookmarkEnd w:id="83"/>
    </w:p>
    <w:p>
      <w:pPr>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白酒生产过程中涵盖了制曲、制酒、勾兑、贮存、包装五个程序，本章从尽责管理的方法出发，梳理白酒生产管理的共性要点。然而，在各项议题下，政策融入、风险识别、风险响应、跟踪、沟通和补救等各个过程均有各自的特征。对此，我们希望尽可能详细地予以提醒。</w:t>
      </w:r>
    </w:p>
    <w:p>
      <w:pPr>
        <w:spacing w:line="200" w:lineRule="exact"/>
        <w:ind w:firstLine="480" w:firstLineChars="200"/>
        <w:rPr>
          <w:rFonts w:ascii="微软雅黑" w:hAnsi="微软雅黑" w:eastAsia="微软雅黑" w:cs="微软雅黑"/>
          <w:snapToGrid w:val="0"/>
          <w:color w:val="000000"/>
          <w:kern w:val="0"/>
          <w:sz w:val="24"/>
          <w14:textOutline w14:w="4356" w14:cap="sq" w14:cmpd="sng" w14:algn="ctr">
            <w14:solidFill>
              <w14:srgbClr w14:val="000000"/>
            </w14:solidFill>
            <w14:prstDash w14:val="solid"/>
            <w14:bevel/>
          </w14:textOutline>
        </w:rPr>
      </w:pPr>
      <w:r>
        <w:rPr>
          <w:rFonts w:hint="eastAsia" w:ascii="方正仿宋_GB2312" w:hAnsi="方正仿宋_GB2312" w:eastAsia="方正仿宋_GB2312" w:cs="方正仿宋_GB2312"/>
          <w:sz w:val="24"/>
        </w:rPr>
        <mc:AlternateContent>
          <mc:Choice Requires="wps">
            <w:drawing>
              <wp:anchor distT="0" distB="0" distL="114300" distR="114300" simplePos="0" relativeHeight="251672576" behindDoc="0" locked="0" layoutInCell="1" allowOverlap="1">
                <wp:simplePos x="0" y="0"/>
                <wp:positionH relativeFrom="column">
                  <wp:posOffset>248920</wp:posOffset>
                </wp:positionH>
                <wp:positionV relativeFrom="paragraph">
                  <wp:posOffset>113030</wp:posOffset>
                </wp:positionV>
                <wp:extent cx="5262245" cy="0"/>
                <wp:effectExtent l="15875" t="15875" r="0" b="22225"/>
                <wp:wrapNone/>
                <wp:docPr id="7" name="直接连接符 7"/>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9.6pt;margin-top:8.9pt;height:0pt;width:414.35pt;z-index:251672576;mso-width-relative:page;mso-height-relative:page;" filled="f" stroked="t" coordsize="21600,21600" o:gfxdata="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S+jRD1AAAAAgBAAAPAAAAAAAAAAEAIAAA&#10;ACIAAABkcnMvZG93bnJldi54bWxQSwECFAAUAAAACACHTuJA3/+VtdcBAACPAwAADgAAAAAAAAAB&#10;ACAAAAAjAQAAZHJzL2Uyb0RvYy54bWxQSwUGAAAAAAYABgBZAQAAbAUAAAAA&#10;">
                <v:fill on="f" focussize="0,0"/>
                <v:stroke weight="2.5pt" color="#4874CB [3204]" joinstyle="round" dashstyle="1 1" endcap="round"/>
                <v:imagedata o:title=""/>
                <o:lock v:ext="edit" aspectratio="f"/>
              </v:line>
            </w:pict>
          </mc:Fallback>
        </mc:AlternateContent>
      </w:r>
    </w:p>
    <w:p>
      <w:pPr>
        <w:spacing w:line="440" w:lineRule="exact"/>
        <w:ind w:firstLine="480" w:firstLineChars="200"/>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pPr>
      <w:r>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t>✬重要提示：白酒生产尽责管理需成为白酒企业生产管理的制度性要求</w:t>
      </w:r>
    </w:p>
    <w:p>
      <w:pPr>
        <w:spacing w:before="181" w:line="440" w:lineRule="exact"/>
        <w:ind w:right="41" w:firstLine="480" w:firstLineChars="20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作为一种食品，其质量和安全对于消费者十分重要，在近几年一些企业为了牟取暴利，减少成本，并没有遵循正常的生产程序，而只是为了一味地提高生产效率，来获得更高的利益。例如影响白酒风味最重要的就是原材料，优质的原材料就会生产出优质的产品，但一些商家为了降低成本会低价收购一些质量不过关的作为酿酒原材料，再经过一些特殊的加工生产出来。在这样的产品流入市场不仅会使企业的名誉大大受损，而且会受到严厉的法律制裁，导致公司面临破产等危机，甚至影响整个白酒行业声誉。</w:t>
      </w:r>
    </w:p>
    <w:p>
      <w:pPr>
        <w:spacing w:line="440" w:lineRule="exact"/>
        <w:ind w:firstLine="482" w:firstLineChars="20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b/>
          <w:bCs/>
          <w:color w:val="000000"/>
          <w:kern w:val="0"/>
          <w:sz w:val="24"/>
        </w:rPr>
        <w:t>正常生产过程会出现企业生产管理体系的漏洞。</w:t>
      </w:r>
      <w:r>
        <w:rPr>
          <w:rFonts w:hint="eastAsia" w:ascii="方正仿宋_GB2312" w:hAnsi="方正仿宋_GB2312" w:eastAsia="方正仿宋_GB2312" w:cs="方正仿宋_GB2312"/>
          <w:color w:val="000000"/>
          <w:kern w:val="0"/>
          <w:sz w:val="24"/>
        </w:rPr>
        <w:t>部分企业在生产过程中对原材料杀菌处理不彻底，以及对于生产设备不进行定期的清洗，以及存在侥幸心理对于生产设备不进行定期的排查，这样的不负责的管理就会导致在生产过程中存在较大的安全隐患。酒更是属于易燃易爆物品，一旦事故发生，轻则可能会造成一些财产损失，重则会造成严重的人员伤亡。这些看似是省时间的行为，实则是增大了企业的生产管理体系潜在风险。白酒企业须将白酒生产纳入企业生产管理体系中。</w:t>
      </w:r>
    </w:p>
    <w:p>
      <w:pPr>
        <w:spacing w:line="440" w:lineRule="exact"/>
        <w:ind w:firstLine="480" w:firstLineChars="20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sz w:val="24"/>
        </w:rP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2061845</wp:posOffset>
                </wp:positionV>
                <wp:extent cx="5262245" cy="0"/>
                <wp:effectExtent l="15875" t="15875" r="0" b="22225"/>
                <wp:wrapNone/>
                <wp:docPr id="8" name="直接连接符 8"/>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3.25pt;margin-top:162.35pt;height:0pt;width:414.35pt;z-index:251673600;mso-width-relative:page;mso-height-relative:page;" filled="f" stroked="t" coordsize="21600,21600" o:gfxdata="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Iaf5yTWAAAACgEAAA8AAAAAAAAAAQAg&#10;AAAAIgAAAGRycy9kb3ducmV2LnhtbFBLAQIUABQAAAAIAIdO4kBADZ0T1wEAAI8DAAAOAAAAAAAA&#10;AAEAIAAAACUBAABkcnMvZTJvRG9jLnhtbFBLBQYAAAAABgAGAFkBAABuBQAAAAA=&#10;">
                <v:fill on="f" focussize="0,0"/>
                <v:stroke weight="2.5pt" color="#4874CB [3204]" joinstyle="round" dashstyle="1 1" endcap="round"/>
                <v:imagedata o:title=""/>
                <o:lock v:ext="edit" aspectratio="f"/>
              </v:line>
            </w:pict>
          </mc:Fallback>
        </mc:AlternateContent>
      </w:r>
      <w:r>
        <w:rPr>
          <w:rFonts w:hint="eastAsia" w:ascii="方正仿宋_GB2312" w:hAnsi="方正仿宋_GB2312" w:eastAsia="方正仿宋_GB2312" w:cs="方正仿宋_GB2312"/>
          <w:color w:val="000000"/>
          <w:kern w:val="0"/>
          <w:sz w:val="24"/>
        </w:rPr>
        <w:t>企业在制定白酒生产管理政策与体系，应实施</w:t>
      </w:r>
      <w:r>
        <w:rPr>
          <w:rFonts w:hint="eastAsia" w:ascii="方正仿宋_GB2312" w:hAnsi="方正仿宋_GB2312" w:eastAsia="方正仿宋_GB2312" w:cs="方正仿宋_GB2312"/>
          <w:kern w:val="0"/>
          <w:sz w:val="24"/>
        </w:rPr>
        <w:t>ISO9001\ISO14001\ISO45001</w:t>
      </w:r>
      <w:r>
        <w:rPr>
          <w:rFonts w:hint="eastAsia" w:ascii="方正仿宋_GB2312" w:hAnsi="方正仿宋_GB2312" w:eastAsia="方正仿宋_GB2312" w:cs="方正仿宋_GB2312"/>
          <w:color w:val="000000"/>
          <w:kern w:val="0"/>
          <w:sz w:val="24"/>
        </w:rPr>
        <w:t>等体系认证，以强化品质管理，节能降耗，树立企业形象；企业应当在制曲、制酒、勾兑、贮存、包装的过程中所应达到的指标进行严格要求和把控，在生产要严格坚守ESG理念，坚持绿色发展理念和高质量生产。在生产过程中企业正确的政策与管理可以有效的提高白酒的生产效率。根据各项风险领域（见表5-5、5-6），审查企业现有的政策，该政策应当随着风险的演变而及时更新；声明各项风险领域的负责团队及最高责任人；制定并公布企业实施与白酒生产相关的尽责管理计划，确保企业生产过程符合国家安全生产标准。</w:t>
      </w:r>
    </w:p>
    <w:p>
      <w:pPr>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企业在制定白酒生产过程的尽责管理政策与体系时，应当注意企业内部生产管理的要点，同时表达对社区、环保组织、政府部门等利益相关方的合作意愿；明确白酒生产尽责管理政策与体系所基于的认证标准与规范，如国内外认证体系、国家标准等；根据各项风险领域（见表5-</w:t>
      </w:r>
      <w:r>
        <w:rPr>
          <w:rFonts w:asciiTheme="minorEastAsia" w:hAnsiTheme="minorEastAsia" w:cstheme="minorEastAsia"/>
          <w:color w:val="000000"/>
          <w:kern w:val="0"/>
          <w:sz w:val="24"/>
        </w:rPr>
        <w:t>5</w:t>
      </w:r>
      <w:r>
        <w:rPr>
          <w:rFonts w:hint="eastAsia" w:asciiTheme="minorEastAsia" w:hAnsiTheme="minorEastAsia" w:cstheme="minorEastAsia"/>
          <w:color w:val="000000"/>
          <w:kern w:val="0"/>
          <w:sz w:val="24"/>
        </w:rPr>
        <w:t>），审查企业现在制度与政策，且应当随风险的变化而及时调整更新。</w:t>
      </w:r>
    </w:p>
    <w:p>
      <w:pPr>
        <w:spacing w:before="236" w:line="440" w:lineRule="exact"/>
        <w:ind w:right="-82"/>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表 5-5：不同风险领域的企业内部生产管理政策与体系要点示例</w:t>
      </w:r>
    </w:p>
    <w:tbl>
      <w:tblPr>
        <w:tblStyle w:val="7"/>
        <w:tblpPr w:leftFromText="180" w:rightFromText="180" w:vertAnchor="text" w:horzAnchor="page" w:tblpX="1403" w:tblpY="456"/>
        <w:tblOverlap w:val="never"/>
        <w:tblW w:w="91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2"/>
        <w:gridCol w:w="5243"/>
        <w:gridCol w:w="22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642" w:type="dxa"/>
            <w:tcBorders>
              <w:tl2br w:val="nil"/>
              <w:tr2bl w:val="nil"/>
            </w:tcBorders>
          </w:tcPr>
          <w:p>
            <w:pPr>
              <w:spacing w:line="440" w:lineRule="exact"/>
              <w:ind w:firstLine="241" w:firstLineChars="100"/>
              <w:rPr>
                <w:rFonts w:hint="eastAsia" w:ascii="方正仿宋_GB2312" w:hAnsi="方正仿宋_GB2312" w:eastAsia="方正仿宋_GB2312" w:cs="方正仿宋_GB2312"/>
                <w:b/>
                <w:bCs/>
                <w:color w:val="000000"/>
                <w:kern w:val="0"/>
                <w:sz w:val="24"/>
                <w:lang w:eastAsia="en-US"/>
              </w:rPr>
            </w:pPr>
            <w:r>
              <w:rPr>
                <w:rFonts w:hint="eastAsia" w:ascii="方正仿宋_GB2312" w:hAnsi="方正仿宋_GB2312" w:eastAsia="方正仿宋_GB2312" w:cs="方正仿宋_GB2312"/>
                <w:b/>
                <w:bCs/>
                <w:color w:val="000000"/>
                <w:kern w:val="0"/>
                <w:sz w:val="24"/>
                <w:lang w:eastAsia="en-US"/>
              </w:rPr>
              <w:t>风险领域</w:t>
            </w:r>
          </w:p>
        </w:tc>
        <w:tc>
          <w:tcPr>
            <w:tcW w:w="5243" w:type="dxa"/>
            <w:tcBorders>
              <w:tl2br w:val="nil"/>
              <w:tr2bl w:val="nil"/>
            </w:tcBorders>
            <w:vAlign w:val="center"/>
          </w:tcPr>
          <w:p>
            <w:pPr>
              <w:spacing w:line="440" w:lineRule="exact"/>
              <w:ind w:firstLine="482"/>
              <w:rPr>
                <w:rFonts w:hint="eastAsia" w:ascii="方正仿宋_GB2312" w:hAnsi="方正仿宋_GB2312" w:eastAsia="方正仿宋_GB2312" w:cs="方正仿宋_GB2312"/>
                <w:b/>
                <w:bCs/>
                <w:color w:val="000000"/>
                <w:kern w:val="0"/>
                <w:sz w:val="24"/>
              </w:rPr>
            </w:pPr>
            <w:r>
              <w:rPr>
                <w:rFonts w:hint="eastAsia" w:ascii="方正仿宋_GB2312" w:hAnsi="方正仿宋_GB2312" w:eastAsia="方正仿宋_GB2312" w:cs="方正仿宋_GB2312"/>
                <w:b/>
                <w:bCs/>
                <w:color w:val="000000"/>
                <w:kern w:val="0"/>
                <w:sz w:val="24"/>
              </w:rPr>
              <w:t>需要纳入企业管理政策与体系要点示例</w:t>
            </w:r>
          </w:p>
        </w:tc>
        <w:tc>
          <w:tcPr>
            <w:tcW w:w="2235" w:type="dxa"/>
            <w:tcBorders>
              <w:tl2br w:val="nil"/>
              <w:tr2bl w:val="nil"/>
            </w:tcBorders>
            <w:vAlign w:val="center"/>
          </w:tcPr>
          <w:p>
            <w:pPr>
              <w:spacing w:line="440" w:lineRule="exact"/>
              <w:rPr>
                <w:rFonts w:hint="eastAsia" w:ascii="方正仿宋_GB2312" w:hAnsi="方正仿宋_GB2312" w:eastAsia="方正仿宋_GB2312" w:cs="方正仿宋_GB2312"/>
                <w:b/>
                <w:bCs/>
                <w:color w:val="FF0000"/>
                <w:kern w:val="0"/>
                <w:sz w:val="24"/>
              </w:rPr>
            </w:pPr>
            <w:r>
              <w:rPr>
                <w:rFonts w:hint="eastAsia" w:ascii="方正仿宋_GB2312" w:hAnsi="方正仿宋_GB2312" w:eastAsia="方正仿宋_GB2312" w:cs="方正仿宋_GB2312"/>
                <w:b/>
                <w:bCs/>
                <w:color w:val="000000" w:themeColor="text1"/>
                <w:kern w:val="0"/>
                <w:sz w:val="24"/>
                <w:lang w:eastAsia="en-US"/>
                <w14:textFill>
                  <w14:solidFill>
                    <w14:schemeClr w14:val="tx1"/>
                  </w14:solidFill>
                </w14:textFill>
              </w:rPr>
              <w:t>参考国内</w:t>
            </w:r>
            <w:r>
              <w:rPr>
                <w:rFonts w:hint="eastAsia" w:ascii="方正仿宋_GB2312" w:hAnsi="方正仿宋_GB2312" w:eastAsia="方正仿宋_GB2312" w:cs="方正仿宋_GB2312"/>
                <w:b/>
                <w:bCs/>
                <w:color w:val="000000" w:themeColor="text1"/>
                <w:kern w:val="0"/>
                <w:sz w:val="24"/>
                <w14:textFill>
                  <w14:solidFill>
                    <w14:schemeClr w14:val="tx1"/>
                  </w14:solidFill>
                </w14:textFill>
              </w:rPr>
              <w:t>认证体系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2" w:hRule="atLeast"/>
        </w:trPr>
        <w:tc>
          <w:tcPr>
            <w:tcW w:w="1642"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en-US"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en-US" w:bidi="ar-SA"/>
              </w:rPr>
              <w:t>白酒生产制造</w:t>
            </w:r>
          </w:p>
        </w:tc>
        <w:tc>
          <w:tcPr>
            <w:tcW w:w="524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●企业要做到对生产设备做定期的安全检查，承诺所用白酒生产设备均符合国家安全生产标准，检查消防设施是否过期，杜绝厂区内明火。</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●要高度重视食品安全制度，要对白酒生产线的新员工进行上岗培训，其从业人员必须持有健康证方可上岗，从业人员必须保持良好的个人卫生。</w:t>
            </w:r>
          </w:p>
        </w:tc>
        <w:tc>
          <w:tcPr>
            <w:tcW w:w="2235"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ISO 9001质量管理体系认证、ISO 22000食品安全管理体系认证、HACCP认证、QS认证、绿色食品标志认证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0" w:hRule="atLeast"/>
        </w:trPr>
        <w:tc>
          <w:tcPr>
            <w:tcW w:w="1642"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en-US"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en-US" w:bidi="ar-SA"/>
              </w:rPr>
              <w:t>制曲、制酒</w:t>
            </w:r>
          </w:p>
        </w:tc>
        <w:tc>
          <w:tcPr>
            <w:tcW w:w="524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●承诺制曲、制酒原材料是绿色，无公害的，无农药残留。承诺在生产期间，围未经许可的外来人员，禁止进入生产车间，以防破坏发酵条件。</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●承诺制曲、制酒的过程，不使用未知的细菌或病毒的原材料进行发酵，以防发生食品安全隐患，同时确保制曲、制酒的规范操作，防止黄曲霉菌丝体从发酵剂中脱落污染其他食品。</w:t>
            </w:r>
          </w:p>
        </w:tc>
        <w:tc>
          <w:tcPr>
            <w:tcW w:w="2235"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GMP认证、ISO 9001质量管理体系认证、ISO 22000食品安全管理体系认证、绿色食品标志认证、有机产品认证、GB/T 26760-2011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1642"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en-US"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勾贮</w:t>
            </w:r>
          </w:p>
        </w:tc>
        <w:tc>
          <w:tcPr>
            <w:tcW w:w="524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●承诺所用的储酒容器符合国家标准，在金属贮存罐必须设可靠的防雷接地，其接地点不应少于两处，接地点沿贮存罐周长的间距不宜大于30厘米。</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●承诺在罐区或库区周围设置了静电消除器，进入罐区或库区的人员必须进行静电放电。</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●承诺作业时操作人穿着防静电装备，并且是使用的工具是防止火花产生的工具。</w:t>
            </w:r>
          </w:p>
        </w:tc>
        <w:tc>
          <w:tcPr>
            <w:tcW w:w="2235"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4"/>
                <w:szCs w:val="24"/>
                <w:highlight w:val="none"/>
                <w:lang w:val="en-US" w:eastAsia="zh-CN" w:bidi="ar-SA"/>
              </w:rPr>
              <w:t>ISO 9001质量管理体系认证、ISO 22000食品安全管理体系认证、HACCP认证、QS认证、GB 9684-2011、 GB13121-1991、 GB/T 10346-2006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2" w:hRule="atLeast"/>
        </w:trPr>
        <w:tc>
          <w:tcPr>
            <w:tcW w:w="1642"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en-US"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en-US" w:bidi="ar-SA"/>
              </w:rPr>
              <w:t>包装</w:t>
            </w:r>
          </w:p>
        </w:tc>
        <w:tc>
          <w:tcPr>
            <w:tcW w:w="524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●承诺所用的白酒包装没有瑕疵，确保产品的完整性，禁止使用劣质材料作为白酒产品的包装。</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●承诺所使用包装材料，不会对环境造成污染，同时避免过度包装造成资源的浪费。</w:t>
            </w:r>
          </w:p>
        </w:tc>
        <w:tc>
          <w:tcPr>
            <w:tcW w:w="2235"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ISO 22000食品安全管理体系认证、</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GB 9685-2016、</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GB/T 44881-2023 、</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GB 4806.5-2016、</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GB/T 24694-2021、</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GB 19778-2005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4" w:hRule="atLeast"/>
        </w:trPr>
        <w:tc>
          <w:tcPr>
            <w:tcW w:w="1642"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白酒生产的职业健康安全</w:t>
            </w:r>
          </w:p>
        </w:tc>
        <w:tc>
          <w:tcPr>
            <w:tcW w:w="524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●定期对员工进行安全培训，确保员工了解有关白酒生产过程中的潜在风险以及如何安全地操作设备和开展工作，增强员工职业健康安全意识。</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●提供适当的个人防护装备，如手套、护目镜、口罩等，以减少员工在工作中受到粉尘、高温蒸汽和其他危险物质的伤害。</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●定期进行员工健康检查，监测员工可能受到的潜在危害，并及时采取措施保护员工健康，减少伤害。</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●建立完善的应急预案，包括火灾、泄漏等突发事件的处理程序，并定期进行演练以确保员工熟悉应对方法。</w:t>
            </w:r>
          </w:p>
        </w:tc>
        <w:tc>
          <w:tcPr>
            <w:tcW w:w="2235"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ISO 9001质量管理体系认证、ISO 22000食品安全管理体系认证、HACCP认证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5" w:hRule="atLeast"/>
        </w:trPr>
        <w:tc>
          <w:tcPr>
            <w:tcW w:w="1642"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en-US"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生产质量管理</w:t>
            </w:r>
          </w:p>
        </w:tc>
        <w:tc>
          <w:tcPr>
            <w:tcW w:w="524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●承诺对生产的每一道工序都进行严格的把关。</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●承诺对所产出的产品未非法添加化学添加剂以及所加添加剂剂量、含量未超出国家规定标准。</w:t>
            </w:r>
          </w:p>
        </w:tc>
        <w:tc>
          <w:tcPr>
            <w:tcW w:w="2235"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ISO 9001质量管理体系认证、ISO 22000食品安全管理体系认证、GB/T 23544-2009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3" w:hRule="atLeast"/>
        </w:trPr>
        <w:tc>
          <w:tcPr>
            <w:tcW w:w="1642"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废酒糟、废气</w:t>
            </w:r>
          </w:p>
        </w:tc>
        <w:tc>
          <w:tcPr>
            <w:tcW w:w="5243"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●承诺所处理的废酒糟、废气不会对土壤、大气、人体身体健康造成危害。</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●承诺不乱排放废气等对环境有危害的废物。</w:t>
            </w:r>
          </w:p>
        </w:tc>
        <w:tc>
          <w:tcPr>
            <w:tcW w:w="2235" w:type="dxa"/>
            <w:tcBorders>
              <w:tl2br w:val="nil"/>
              <w:tr2bl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ISO 14001环境管理体系认证、</w:t>
            </w:r>
          </w:p>
          <w:p>
            <w:pPr>
              <w:keepNext w:val="0"/>
              <w:keepLines w:val="0"/>
              <w:pageBreakBefore w:val="0"/>
              <w:widowControl w:val="0"/>
              <w:numPr>
                <w:ilvl w:val="0"/>
                <w:numId w:val="0"/>
              </w:numPr>
              <w:kinsoku/>
              <w:wordWrap/>
              <w:overflowPunct/>
              <w:topLinePunct w:val="0"/>
              <w:autoSpaceDE/>
              <w:autoSpaceDN/>
              <w:bidi w:val="0"/>
              <w:adjustRightInd/>
              <w:snapToGrid/>
              <w:spacing w:before="118" w:line="400" w:lineRule="exact"/>
              <w:ind w:firstLine="0" w:firstLineChars="0"/>
              <w:jc w:val="both"/>
              <w:textAlignment w:val="auto"/>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pPr>
            <w:r>
              <w:rPr>
                <w:rFonts w:hint="eastAsia" w:ascii="方正仿宋_GB2312" w:hAnsi="方正仿宋_GB2312" w:eastAsia="方正仿宋_GB2312" w:cs="方正仿宋_GB2312"/>
                <w:b w:val="0"/>
                <w:bCs w:val="0"/>
                <w:i w:val="0"/>
                <w:iCs w:val="0"/>
                <w:color w:val="000000"/>
                <w:kern w:val="0"/>
                <w:sz w:val="21"/>
                <w:szCs w:val="21"/>
                <w:highlight w:val="none"/>
                <w:lang w:val="en-US" w:eastAsia="zh-CN" w:bidi="ar-SA"/>
              </w:rPr>
              <w:t>GB 27631-2011</w:t>
            </w:r>
          </w:p>
        </w:tc>
      </w:tr>
    </w:tbl>
    <w:p>
      <w:pPr>
        <w:spacing w:before="236" w:line="440" w:lineRule="exact"/>
        <w:ind w:right="-82"/>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表 5-6：不同风险领域利益相关方的生产管理政策与体系要点示例</w:t>
      </w:r>
    </w:p>
    <w:tbl>
      <w:tblPr>
        <w:tblStyle w:val="8"/>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5"/>
        <w:gridCol w:w="5175"/>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5" w:type="dxa"/>
            <w:vAlign w:val="center"/>
          </w:tcPr>
          <w:p>
            <w:pPr>
              <w:spacing w:line="440" w:lineRule="exact"/>
              <w:ind w:firstLine="241" w:firstLineChars="100"/>
              <w:rPr>
                <w:rFonts w:hint="eastAsia" w:ascii="方正仿宋_GB2312" w:hAnsi="方正仿宋_GB2312" w:eastAsia="方正仿宋_GB2312" w:cs="方正仿宋_GB2312"/>
                <w:b/>
                <w:bCs/>
                <w:color w:val="000000"/>
                <w:kern w:val="0"/>
                <w:sz w:val="24"/>
              </w:rPr>
            </w:pPr>
            <w:r>
              <w:rPr>
                <w:rFonts w:hint="eastAsia" w:ascii="方正仿宋_GB2312" w:hAnsi="方正仿宋_GB2312" w:eastAsia="方正仿宋_GB2312" w:cs="方正仿宋_GB2312"/>
                <w:b/>
                <w:bCs/>
                <w:color w:val="000000"/>
                <w:kern w:val="0"/>
                <w:sz w:val="24"/>
                <w:lang w:eastAsia="en-US"/>
              </w:rPr>
              <w:t>风险领域</w:t>
            </w:r>
          </w:p>
        </w:tc>
        <w:tc>
          <w:tcPr>
            <w:tcW w:w="5175" w:type="dxa"/>
            <w:vAlign w:val="center"/>
          </w:tcPr>
          <w:p>
            <w:pPr>
              <w:spacing w:line="440" w:lineRule="exact"/>
              <w:ind w:firstLine="241" w:firstLineChars="100"/>
              <w:rPr>
                <w:rFonts w:hint="eastAsia" w:ascii="方正仿宋_GB2312" w:hAnsi="方正仿宋_GB2312" w:eastAsia="方正仿宋_GB2312" w:cs="方正仿宋_GB2312"/>
                <w:b/>
                <w:bCs/>
                <w:color w:val="000000"/>
                <w:kern w:val="0"/>
                <w:sz w:val="24"/>
              </w:rPr>
            </w:pPr>
            <w:r>
              <w:rPr>
                <w:rFonts w:hint="eastAsia" w:ascii="方正仿宋_GB2312" w:hAnsi="方正仿宋_GB2312" w:eastAsia="方正仿宋_GB2312" w:cs="方正仿宋_GB2312"/>
                <w:b/>
                <w:bCs/>
                <w:color w:val="000000"/>
                <w:kern w:val="0"/>
                <w:sz w:val="24"/>
              </w:rPr>
              <w:t>需要纳入企业管理政策与体系要点示例</w:t>
            </w:r>
          </w:p>
        </w:tc>
        <w:tc>
          <w:tcPr>
            <w:tcW w:w="2250" w:type="dxa"/>
            <w:vAlign w:val="center"/>
          </w:tcPr>
          <w:p>
            <w:pPr>
              <w:spacing w:line="440" w:lineRule="exact"/>
              <w:rPr>
                <w:rFonts w:hint="eastAsia" w:ascii="方正仿宋_GB2312" w:hAnsi="方正仿宋_GB2312" w:eastAsia="方正仿宋_GB2312" w:cs="方正仿宋_GB2312"/>
                <w:b/>
                <w:bCs/>
                <w:color w:val="FF0000"/>
                <w:kern w:val="0"/>
                <w:sz w:val="24"/>
              </w:rPr>
            </w:pPr>
            <w:r>
              <w:rPr>
                <w:rFonts w:hint="eastAsia" w:ascii="方正仿宋_GB2312" w:hAnsi="方正仿宋_GB2312" w:eastAsia="方正仿宋_GB2312" w:cs="方正仿宋_GB2312"/>
                <w:b/>
                <w:bCs/>
                <w:color w:val="000000" w:themeColor="text1"/>
                <w:kern w:val="0"/>
                <w:sz w:val="24"/>
                <w:lang w:eastAsia="en-US"/>
                <w14:textFill>
                  <w14:solidFill>
                    <w14:schemeClr w14:val="tx1"/>
                  </w14:solidFill>
                </w14:textFill>
              </w:rPr>
              <w:t>参考国内</w:t>
            </w:r>
            <w:r>
              <w:rPr>
                <w:rFonts w:hint="eastAsia" w:ascii="方正仿宋_GB2312" w:hAnsi="方正仿宋_GB2312" w:eastAsia="方正仿宋_GB2312" w:cs="方正仿宋_GB2312"/>
                <w:b/>
                <w:bCs/>
                <w:color w:val="000000" w:themeColor="text1"/>
                <w:kern w:val="0"/>
                <w:sz w:val="24"/>
                <w14:textFill>
                  <w14:solidFill>
                    <w14:schemeClr w14:val="tx1"/>
                  </w14:solidFill>
                </w14:textFill>
              </w:rPr>
              <w:t>评估体系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trPr>
        <w:tc>
          <w:tcPr>
            <w:tcW w:w="1695" w:type="dxa"/>
            <w:vAlign w:val="center"/>
          </w:tcPr>
          <w:p>
            <w:pPr>
              <w:spacing w:before="236" w:line="440" w:lineRule="exact"/>
              <w:ind w:right="-82"/>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社区</w:t>
            </w:r>
          </w:p>
        </w:tc>
        <w:tc>
          <w:tcPr>
            <w:tcW w:w="5175" w:type="dxa"/>
            <w:vAlign w:val="center"/>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●承诺依规依法进行生产活动，防止对环境和社区造成不良影响。</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●承诺明确自身在社区中的角色和责任，制定预防措施。</w:t>
            </w:r>
          </w:p>
        </w:tc>
        <w:tc>
          <w:tcPr>
            <w:tcW w:w="2250" w:type="dxa"/>
            <w:vAlign w:val="center"/>
          </w:tcPr>
          <w:p>
            <w:pPr>
              <w:spacing w:line="440" w:lineRule="exact"/>
              <w:rPr>
                <w:rFonts w:hint="eastAsia" w:ascii="方正仿宋_GB2312" w:hAnsi="方正仿宋_GB2312" w:eastAsia="方正仿宋_GB2312" w:cs="方正仿宋_GB2312"/>
                <w:color w:val="FF0000"/>
                <w:kern w:val="0"/>
                <w:sz w:val="24"/>
              </w:rPr>
            </w:pPr>
            <w:r>
              <w:rPr>
                <w:rFonts w:hint="eastAsia" w:ascii="方正仿宋_GB2312" w:hAnsi="方正仿宋_GB2312" w:eastAsia="方正仿宋_GB2312" w:cs="方正仿宋_GB2312"/>
                <w:color w:val="000000"/>
                <w:kern w:val="0"/>
                <w:sz w:val="24"/>
              </w:rPr>
              <w:t>CSR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695" w:type="dxa"/>
            <w:vAlign w:val="center"/>
          </w:tcPr>
          <w:p>
            <w:pPr>
              <w:spacing w:before="236" w:line="440" w:lineRule="exact"/>
              <w:ind w:right="-82"/>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环保组织</w:t>
            </w:r>
          </w:p>
        </w:tc>
        <w:tc>
          <w:tcPr>
            <w:tcW w:w="5175" w:type="dxa"/>
            <w:vAlign w:val="center"/>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●承诺明确环保组织在企业中的地位，将其纳入企业管理政策与体系中，将其作为企业战略的重要组成部分。</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●承诺制定明确的环保政策，积极履行环保责任。</w:t>
            </w:r>
          </w:p>
        </w:tc>
        <w:tc>
          <w:tcPr>
            <w:tcW w:w="2250" w:type="dxa"/>
            <w:vAlign w:val="center"/>
          </w:tcPr>
          <w:p>
            <w:pPr>
              <w:spacing w:before="236" w:line="440" w:lineRule="exact"/>
              <w:ind w:right="-82"/>
              <w:rPr>
                <w:rFonts w:hint="eastAsia" w:ascii="方正仿宋_GB2312" w:hAnsi="方正仿宋_GB2312" w:eastAsia="方正仿宋_GB2312" w:cs="方正仿宋_GB2312"/>
                <w:color w:val="FF0000"/>
                <w:kern w:val="0"/>
                <w:sz w:val="24"/>
              </w:rPr>
            </w:pPr>
            <w:r>
              <w:rPr>
                <w:rFonts w:hint="eastAsia" w:ascii="方正仿宋_GB2312" w:hAnsi="方正仿宋_GB2312" w:eastAsia="方正仿宋_GB2312" w:cs="方正仿宋_GB2312"/>
                <w:kern w:val="0"/>
                <w:sz w:val="24"/>
              </w:rPr>
              <w:t xml:space="preserve">ISO </w:t>
            </w:r>
            <w:r>
              <w:rPr>
                <w:rFonts w:hint="eastAsia" w:ascii="方正仿宋_GB2312" w:hAnsi="方正仿宋_GB2312" w:eastAsia="方正仿宋_GB2312" w:cs="方正仿宋_GB2312"/>
                <w:color w:val="000000"/>
                <w:kern w:val="0"/>
                <w:sz w:val="24"/>
              </w:rPr>
              <w:t>14001环境管理体系、清洁生产认证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trPr>
        <w:tc>
          <w:tcPr>
            <w:tcW w:w="1695" w:type="dxa"/>
            <w:vAlign w:val="center"/>
          </w:tcPr>
          <w:p>
            <w:pPr>
              <w:spacing w:before="236" w:line="440" w:lineRule="exact"/>
              <w:ind w:right="-82"/>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政府部门</w:t>
            </w:r>
          </w:p>
        </w:tc>
        <w:tc>
          <w:tcPr>
            <w:tcW w:w="5175" w:type="dxa"/>
            <w:vAlign w:val="center"/>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●承诺遵守国家及地方政府的环保政策，积极采取措施减少污染排放，推动绿色生产。</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●承诺建立完善的人力资源管理制度，包括员工招聘、培训等。</w:t>
            </w:r>
          </w:p>
        </w:tc>
        <w:tc>
          <w:tcPr>
            <w:tcW w:w="2250" w:type="dxa"/>
            <w:vAlign w:val="center"/>
          </w:tcPr>
          <w:p>
            <w:pPr>
              <w:spacing w:before="236" w:line="440" w:lineRule="exact"/>
              <w:ind w:right="-82"/>
              <w:rPr>
                <w:rFonts w:hint="eastAsia" w:ascii="方正仿宋_GB2312" w:hAnsi="方正仿宋_GB2312" w:eastAsia="方正仿宋_GB2312" w:cs="方正仿宋_GB2312"/>
                <w:color w:val="FF0000"/>
                <w:kern w:val="0"/>
                <w:sz w:val="24"/>
              </w:rPr>
            </w:pPr>
            <w:r>
              <w:rPr>
                <w:rFonts w:hint="eastAsia" w:ascii="方正仿宋_GB2312" w:hAnsi="方正仿宋_GB2312" w:eastAsia="方正仿宋_GB2312" w:cs="方正仿宋_GB2312"/>
                <w:color w:val="000000"/>
                <w:kern w:val="0"/>
                <w:sz w:val="24"/>
              </w:rPr>
              <w:t>绿色企业认证、绿色食品标志认证</w:t>
            </w:r>
          </w:p>
        </w:tc>
      </w:tr>
    </w:tbl>
    <w:p>
      <w:pPr>
        <w:spacing w:line="440" w:lineRule="exact"/>
        <w:ind w:firstLine="460" w:firstLineChars="200"/>
        <w:rPr>
          <w:rFonts w:asciiTheme="minorEastAsia" w:hAnsiTheme="minorEastAsia" w:cstheme="minorEastAsia"/>
          <w:color w:val="FF0000"/>
          <w:spacing w:val="-5"/>
          <w:sz w:val="24"/>
          <w14:textOutline w14:w="4356" w14:cap="sq" w14:cmpd="sng" w14:algn="ctr">
            <w14:solidFill>
              <w14:srgbClr w14:val="000000"/>
            </w14:solidFill>
            <w14:prstDash w14:val="solid"/>
            <w14:bevel/>
          </w14:textOutline>
        </w:rPr>
      </w:pPr>
      <w:bookmarkStart w:id="84" w:name="_Toc538"/>
      <w:bookmarkStart w:id="85" w:name="_Toc6326"/>
      <w:r>
        <w:rPr>
          <w:rFonts w:hint="eastAsia" w:asciiTheme="minorEastAsia" w:hAnsiTheme="minorEastAsia" w:cstheme="minorEastAsia"/>
          <w:color w:val="FF0000"/>
          <w:spacing w:val="-5"/>
          <w:sz w:val="24"/>
          <w14:textOutline w14:w="4356" w14:cap="sq" w14:cmpd="sng" w14:algn="ctr">
            <w14:solidFill>
              <w14:srgbClr w14:val="000000"/>
            </w14:solidFill>
            <w14:prstDash w14:val="solid"/>
            <w14:bevel/>
          </w14:textOutline>
        </w:rPr>
        <w:t>实用行动</w:t>
      </w:r>
    </w:p>
    <w:p>
      <w:pPr>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●制定具体政策应对企业面临的最重要风险，以风险评估的结果为基础，从而为企业消除这些风险，并采取的特定方式提供指导。同时考虑将制定企业的尽责管理计划纳入这些政策。</w:t>
      </w:r>
    </w:p>
    <w:p>
      <w:pPr>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xml:space="preserve">●公开发布企业关于负责任商业行为的政策，如在企业的网站、企业的经营场所中。 </w:t>
      </w:r>
    </w:p>
    <w:p>
      <w:pPr>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xml:space="preserve">●将政策沟通给企业自身的相关员工和其他工人，如在员工入职或培训期间，以及根据需要定期进行沟通，以便让员工了解政策。 </w:t>
      </w:r>
    </w:p>
    <w:p>
      <w:pPr>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●根据企业的负责任商业行为政策，为工人与业务部门制定激励措施。</w:t>
      </w:r>
    </w:p>
    <w:p>
      <w:pPr>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●制定过程应对方案，或在未遵守负责任商业行为政策的情况下酌情提供补救（如通过额外的情况调查、能力建设或纪律处分/惩罚）。</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86" w:name="_Toc23088"/>
      <w:r>
        <w:rPr>
          <w:rFonts w:hint="eastAsia" w:ascii="方正公文黑体" w:hAnsi="方正公文黑体" w:eastAsia="方正公文黑体" w:cs="方正公文黑体"/>
          <w:sz w:val="28"/>
          <w:szCs w:val="28"/>
          <w:lang w:val="en-US" w:eastAsia="zh-CN"/>
        </w:rPr>
        <w:t>5.2.2识别和评估白酒生产体系</w:t>
      </w:r>
      <w:bookmarkEnd w:id="84"/>
      <w:bookmarkEnd w:id="85"/>
      <w:r>
        <w:rPr>
          <w:rFonts w:hint="eastAsia" w:ascii="方正公文黑体" w:hAnsi="方正公文黑体" w:eastAsia="方正公文黑体" w:cs="方正公文黑体"/>
          <w:sz w:val="28"/>
          <w:szCs w:val="28"/>
          <w:lang w:val="en-US" w:eastAsia="zh-CN"/>
        </w:rPr>
        <w:t>风险</w:t>
      </w:r>
      <w:bookmarkEnd w:id="86"/>
    </w:p>
    <w:p>
      <w:pPr>
        <w:spacing w:before="40" w:line="440" w:lineRule="exact"/>
        <w:ind w:firstLine="480" w:firstLineChars="200"/>
        <w:rPr>
          <w:rFonts w:asciiTheme="minorEastAsia" w:hAnsiTheme="minorEastAsia" w:cstheme="minorEastAsia"/>
          <w:kern w:val="0"/>
          <w:sz w:val="24"/>
        </w:rPr>
      </w:pPr>
      <w:r>
        <w:rPr>
          <w:rFonts w:hint="eastAsia" w:asciiTheme="minorEastAsia" w:hAnsiTheme="minorEastAsia" w:cstheme="minorEastAsia"/>
          <w:kern w:val="0"/>
          <w:sz w:val="24"/>
        </w:rPr>
        <w:t>梳理白酒生产工艺与流程，全面识别白酒生产领域中的负责任商业行为的已知风险与潜在风险，</w:t>
      </w:r>
      <w:r>
        <w:rPr>
          <w:rFonts w:asciiTheme="minorEastAsia" w:hAnsiTheme="minorEastAsia" w:cstheme="minorEastAsia"/>
          <w:kern w:val="0"/>
          <w:sz w:val="24"/>
        </w:rPr>
        <w:t>了解不同风险的潜在影响和可能发生的概率</w:t>
      </w:r>
      <w:r>
        <w:rPr>
          <w:rFonts w:hint="eastAsia" w:asciiTheme="minorEastAsia" w:hAnsiTheme="minorEastAsia" w:cstheme="minorEastAsia"/>
          <w:kern w:val="0"/>
          <w:sz w:val="24"/>
        </w:rPr>
        <w:t>，并结合企业实际情况，对风险领域开展优先级排序，以备进一步的评估和处理，确保资源的合理分配，实现</w:t>
      </w:r>
      <w:r>
        <w:rPr>
          <w:rFonts w:asciiTheme="minorEastAsia" w:hAnsiTheme="minorEastAsia" w:cstheme="minorEastAsia"/>
          <w:kern w:val="0"/>
          <w:sz w:val="24"/>
        </w:rPr>
        <w:t>保护企业</w:t>
      </w:r>
      <w:r>
        <w:rPr>
          <w:rFonts w:hint="eastAsia" w:asciiTheme="minorEastAsia" w:hAnsiTheme="minorEastAsia" w:cstheme="minorEastAsia"/>
          <w:kern w:val="0"/>
          <w:sz w:val="24"/>
        </w:rPr>
        <w:t>及相关方的</w:t>
      </w:r>
      <w:r>
        <w:rPr>
          <w:rFonts w:asciiTheme="minorEastAsia" w:hAnsiTheme="minorEastAsia" w:cstheme="minorEastAsia"/>
          <w:kern w:val="0"/>
          <w:sz w:val="24"/>
        </w:rPr>
        <w:t>利益</w:t>
      </w:r>
      <w:r>
        <w:rPr>
          <w:rFonts w:hint="eastAsia" w:asciiTheme="minorEastAsia" w:hAnsiTheme="minorEastAsia" w:cstheme="minorEastAsia"/>
          <w:kern w:val="0"/>
          <w:sz w:val="24"/>
        </w:rPr>
        <w:t>最大化。</w:t>
      </w:r>
    </w:p>
    <w:p>
      <w:pPr>
        <w:spacing w:line="440" w:lineRule="exact"/>
        <w:ind w:firstLine="480" w:firstLineChars="200"/>
        <w:rPr>
          <w:rFonts w:asciiTheme="minorEastAsia" w:hAnsiTheme="minorEastAsia" w:cstheme="minorEastAsia"/>
          <w:snapToGrid w:val="0"/>
          <w:color w:val="000000"/>
          <w:kern w:val="0"/>
          <w:sz w:val="24"/>
          <w14:textOutline w14:w="4356" w14:cap="sq" w14:cmpd="sng" w14:algn="ctr">
            <w14:solidFill>
              <w14:srgbClr w14:val="000000"/>
            </w14:solidFill>
            <w14:prstDash w14:val="solid"/>
            <w14:bevel/>
          </w14:textOutline>
        </w:rPr>
      </w:pPr>
      <w:r>
        <w:rPr>
          <w:sz w:val="24"/>
        </w:rPr>
        <mc:AlternateContent>
          <mc:Choice Requires="wps">
            <w:drawing>
              <wp:anchor distT="0" distB="0" distL="114300" distR="114300" simplePos="0" relativeHeight="251674624" behindDoc="0" locked="0" layoutInCell="1" allowOverlap="1">
                <wp:simplePos x="0" y="0"/>
                <wp:positionH relativeFrom="column">
                  <wp:posOffset>224155</wp:posOffset>
                </wp:positionH>
                <wp:positionV relativeFrom="paragraph">
                  <wp:posOffset>179705</wp:posOffset>
                </wp:positionV>
                <wp:extent cx="5262245" cy="0"/>
                <wp:effectExtent l="15875" t="15875" r="0" b="22225"/>
                <wp:wrapNone/>
                <wp:docPr id="19" name="直接连接符 19"/>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65pt;margin-top:14.15pt;height:0pt;width:414.35pt;z-index:251674624;mso-width-relative:page;mso-height-relative:page;" filled="f" stroked="t" coordsize="21600,21600" o:gfxdata="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CVqyTVAAAACAEAAA8AAAAAAAAAAQAg&#10;AAAAIgAAAGRycy9kb3ducmV2LnhtbFBLAQIUABQAAAAIAIdO4kA/0jjF2AEAAJEDAAAOAAAAAAAA&#10;AAEAIAAAACQBAABkcnMvZTJvRG9jLnhtbFBLBQYAAAAABgAGAFkBAABuBQAAAAA=&#10;">
                <v:fill on="f" focussize="0,0"/>
                <v:stroke weight="2.5pt" color="#4874CB [3204]" joinstyle="round" dashstyle="1 1" endcap="round"/>
                <v:imagedata o:title=""/>
                <o:lock v:ext="edit" aspectratio="f"/>
              </v:line>
            </w:pict>
          </mc:Fallback>
        </mc:AlternateContent>
      </w:r>
    </w:p>
    <w:p>
      <w:pPr>
        <w:spacing w:line="440" w:lineRule="exact"/>
        <w:ind w:firstLine="480" w:firstLineChars="200"/>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pPr>
      <w:r>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t>✬重要提示：开展内审或者内部评估是识别生产管理风险的有效措施</w:t>
      </w:r>
    </w:p>
    <w:p>
      <w:pPr>
        <w:spacing w:line="440" w:lineRule="exact"/>
        <w:ind w:right="41" w:firstLine="480" w:firstLineChars="20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大量中国白酒企业建立了生产管理体系并开展周期性内审或者内部评估，将白酒生产风险的考虑因素纳入到管理体系内审中，对于预防生产风险具有重要意义。一些风险形式十分明显、易于识别，例如相关的白酒生产设备是否进行定期检查，其生产过程中所排放的废水是否达到排放标准，用于酿造白酒的酒曲发酵环境是否符合要求。而一些风险形式则十分隐蔽例如在生产过程中员工操作的卫生安全等——企业可设定卫生监察小组进行随时监察在生产过程中的卫生安全。</w:t>
      </w:r>
    </w:p>
    <w:p>
      <w:pPr>
        <w:spacing w:line="440" w:lineRule="exact"/>
        <w:ind w:left="123" w:right="41" w:firstLine="482"/>
        <w:rPr>
          <w:rFonts w:hint="eastAsia" w:ascii="方正仿宋_GB2312" w:hAnsi="方正仿宋_GB2312" w:eastAsia="方正仿宋_GB2312" w:cs="方正仿宋_GB2312"/>
          <w:b/>
          <w:bCs/>
          <w:color w:val="000000"/>
          <w:kern w:val="0"/>
          <w:sz w:val="24"/>
        </w:rPr>
      </w:pPr>
      <w:r>
        <w:rPr>
          <w:rFonts w:hint="eastAsia" w:ascii="方正仿宋_GB2312" w:hAnsi="方正仿宋_GB2312" w:eastAsia="方正仿宋_GB2312" w:cs="方正仿宋_GB2312"/>
          <w:b/>
          <w:bCs/>
          <w:color w:val="000000"/>
          <w:kern w:val="0"/>
          <w:sz w:val="24"/>
        </w:rPr>
        <w:t>预防不负责任的白酒生产行为是白酒企业开展白酒生产管理的重点内容</w:t>
      </w:r>
    </w:p>
    <w:p>
      <w:pPr>
        <w:spacing w:line="440" w:lineRule="exact"/>
        <w:ind w:right="41" w:firstLine="480" w:firstLineChars="20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的生产过程中包括制曲、制酒、勾兑、贮存、包装五大步骤，对于这五大步骤的主要影响因素主要是受自然界的影响，但人们可以通过人为的预测和干扰来规避这些风险。其中温度会影响微生物的活性从而影响酒曲的发酵，原材料的选择对于白酒的风味也是极其重要的，如果选择的原材料品质不好会损坏企业的口碑。以及酿酒工人的技术是影响白酒生产质量的重大因素，生产过程中企业需要把控好酒精度，酒精度不合格导致企业发展会受到极大影响。企业不对其员工进行规范的培训操作，生产过程中一些不符合常规的的行为，企业也视而不见，这些行为都会影响到产品的标准和企业的发展。</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以及生产过程对外界也会产生一定的影响，例如可能会对附近居民、环境造成一些影响。</w:t>
      </w:r>
    </w:p>
    <w:p>
      <w:pPr>
        <w:spacing w:line="440" w:lineRule="exact"/>
        <w:ind w:left="123" w:right="41" w:firstLine="482"/>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b/>
          <w:bCs/>
          <w:color w:val="000000"/>
          <w:kern w:val="0"/>
          <w:sz w:val="24"/>
        </w:rPr>
        <w:t>培训、防护和监管是白酒企业降低制曲环节职业健康与安全风险的措施</w:t>
      </w:r>
    </w:p>
    <w:p>
      <w:pPr>
        <w:spacing w:line="440" w:lineRule="exact"/>
        <w:ind w:firstLine="48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在制曲环节中，员工面临粉尘、噪声、高温等职业危害因素。对制曲环节员工进行职业健康和安全培训，如正确使用防护用品、应急处理方法、安全操作规则等，让员工了解在制曲环节中存在的职业危害因素以及如何采取有效防护措施。并提供合适的防护用品，如防尘口罩、耳塞、防护眼镜、工作服等，设立监管机构或指派专人负责监督该环节职业健康与安全工作，定期巡查。</w:t>
      </w:r>
    </w:p>
    <w:p>
      <w:pPr>
        <w:spacing w:line="440" w:lineRule="exact"/>
        <w:ind w:firstLine="480"/>
        <w:rPr>
          <w:rFonts w:ascii="仿宋_GB2312" w:eastAsia="仿宋_GB2312"/>
        </w:rPr>
      </w:pPr>
      <w:r>
        <w:rPr>
          <w:sz w:val="24"/>
        </w:rPr>
        <mc:AlternateContent>
          <mc:Choice Requires="wps">
            <w:drawing>
              <wp:anchor distT="0" distB="0" distL="114300" distR="114300" simplePos="0" relativeHeight="251675648" behindDoc="0" locked="0" layoutInCell="1" allowOverlap="1">
                <wp:simplePos x="0" y="0"/>
                <wp:positionH relativeFrom="column">
                  <wp:posOffset>275590</wp:posOffset>
                </wp:positionH>
                <wp:positionV relativeFrom="paragraph">
                  <wp:posOffset>136525</wp:posOffset>
                </wp:positionV>
                <wp:extent cx="5262245" cy="0"/>
                <wp:effectExtent l="15875" t="15875" r="0" b="22225"/>
                <wp:wrapNone/>
                <wp:docPr id="20" name="直接连接符 20"/>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7pt;margin-top:10.75pt;height:0pt;width:414.35pt;z-index:251675648;mso-width-relative:page;mso-height-relative:page;" filled="f" stroked="t" coordsize="21600,21600" o:gfxdata="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dYinR1AAAAAgBAAAPAAAAAAAAAAEAIAAA&#10;ACIAAABkcnMvZG93bnJldi54bWxQSwECFAAUAAAACACHTuJA+PMbPtcBAACRAwAADgAAAAAAAAAB&#10;ACAAAAAjAQAAZHJzL2Uyb0RvYy54bWxQSwUGAAAAAAYABgBZAQAAbAUAAAAA&#10;">
                <v:fill on="f" focussize="0,0"/>
                <v:stroke weight="2.5pt" color="#4874CB [3204]" joinstyle="round" dashstyle="1 1" endcap="round"/>
                <v:imagedata o:title=""/>
                <o:lock v:ext="edit" aspectratio="f"/>
              </v:line>
            </w:pict>
          </mc:Fallback>
        </mc:AlternateContent>
      </w:r>
    </w:p>
    <w:p>
      <w:pPr>
        <w:spacing w:before="40" w:line="440" w:lineRule="exact"/>
        <w:ind w:firstLine="480" w:firstLineChars="200"/>
        <w:rPr>
          <w:rFonts w:asciiTheme="minorEastAsia" w:hAnsiTheme="minorEastAsia" w:cstheme="minorEastAsia"/>
          <w:kern w:val="0"/>
          <w:sz w:val="24"/>
        </w:rPr>
      </w:pPr>
      <w:r>
        <w:rPr>
          <w:rFonts w:hint="eastAsia" w:asciiTheme="minorEastAsia" w:hAnsiTheme="minorEastAsia" w:cstheme="minorEastAsia"/>
          <w:kern w:val="0"/>
          <w:sz w:val="24"/>
        </w:rPr>
        <w:t>除了职业健康安全以外，白酒在生产过程中还涉及到工人操作不规范风险、安全管理制度不规范风险、重大事故处理风险、卫生风险、高温和高压风险、白酒制作过程不规范、对酒厂附近环境有污染等风险。企业在识别风险点同时，还应依据自身情况对风险领域作出优先性排序。</w:t>
      </w:r>
    </w:p>
    <w:p>
      <w:pPr>
        <w:spacing w:before="236" w:line="440" w:lineRule="exact"/>
        <w:ind w:right="-82" w:firstLine="480" w:firstLineChars="200"/>
        <w:jc w:val="center"/>
        <w:rPr>
          <w:rFonts w:hint="eastAsia" w:ascii="方正仿宋_GB2312" w:hAnsi="方正仿宋_GB2312" w:eastAsia="方正仿宋_GB2312" w:cs="方正仿宋_GB2312"/>
          <w:kern w:val="0"/>
          <w:sz w:val="24"/>
        </w:rPr>
      </w:pPr>
      <w:r>
        <w:rPr>
          <w:rFonts w:hint="eastAsia" w:ascii="方正仿宋_GB2312" w:hAnsi="方正仿宋_GB2312" w:eastAsia="方正仿宋_GB2312" w:cs="方正仿宋_GB2312"/>
          <w:kern w:val="0"/>
          <w:sz w:val="24"/>
        </w:rPr>
        <w:t>表 5-7：白酒企业识别和评估生产管理中潜在和实际损害风险因素</w:t>
      </w:r>
    </w:p>
    <w:tbl>
      <w:tblPr>
        <w:tblStyle w:val="7"/>
        <w:tblW w:w="89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73"/>
        <w:gridCol w:w="62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2673" w:type="dxa"/>
          </w:tcPr>
          <w:p>
            <w:pPr>
              <w:spacing w:line="440" w:lineRule="exact"/>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lang w:eastAsia="en-US"/>
              </w:rPr>
              <w:t>风险领域</w:t>
            </w:r>
          </w:p>
        </w:tc>
        <w:tc>
          <w:tcPr>
            <w:tcW w:w="6293" w:type="dxa"/>
          </w:tcPr>
          <w:p>
            <w:pPr>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企业风险因素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jc w:val="center"/>
        </w:trPr>
        <w:tc>
          <w:tcPr>
            <w:tcW w:w="2673" w:type="dxa"/>
            <w:vAlign w:val="center"/>
          </w:tcPr>
          <w:p>
            <w:pPr>
              <w:spacing w:line="440" w:lineRule="exact"/>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白酒生产制造安全</w:t>
            </w:r>
          </w:p>
        </w:tc>
        <w:tc>
          <w:tcPr>
            <w:tcW w:w="6293"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●工人操作不规范风险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●安全管理制度不规范风险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●食品安全管理风险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●重大事故处理风险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●卫生风险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●火灾和爆炸风险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●高温和高压风险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jc w:val="center"/>
        </w:trPr>
        <w:tc>
          <w:tcPr>
            <w:tcW w:w="2673" w:type="dxa"/>
            <w:vAlign w:val="center"/>
          </w:tcPr>
          <w:p>
            <w:pPr>
              <w:spacing w:line="440" w:lineRule="exact"/>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白酒生产质量</w:t>
            </w:r>
          </w:p>
        </w:tc>
        <w:tc>
          <w:tcPr>
            <w:tcW w:w="6293"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●原材料质量风险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●不合格风险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●对关键环节控制不严格</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●白酒制作过程不规范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8" w:hRule="atLeast"/>
          <w:jc w:val="center"/>
        </w:trPr>
        <w:tc>
          <w:tcPr>
            <w:tcW w:w="2673" w:type="dxa"/>
            <w:vAlign w:val="center"/>
          </w:tcPr>
          <w:p>
            <w:pPr>
              <w:spacing w:line="440" w:lineRule="exact"/>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制曲、制酒</w:t>
            </w:r>
          </w:p>
        </w:tc>
        <w:tc>
          <w:tcPr>
            <w:tcW w:w="6293"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●原材料风险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●环境风险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●微生物风险</w:t>
            </w:r>
          </w:p>
          <w:p>
            <w:pPr>
              <w:spacing w:line="440" w:lineRule="exact"/>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●操作风险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7" w:hRule="atLeast"/>
          <w:jc w:val="center"/>
        </w:trPr>
        <w:tc>
          <w:tcPr>
            <w:tcW w:w="2673" w:type="dxa"/>
            <w:vAlign w:val="center"/>
          </w:tcPr>
          <w:p>
            <w:pPr>
              <w:spacing w:line="440" w:lineRule="exact"/>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勾贮</w:t>
            </w:r>
          </w:p>
        </w:tc>
        <w:tc>
          <w:tcPr>
            <w:tcW w:w="6293"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●储酒容器风险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●储酒环境风险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●误差和计量问题</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●工艺操作不当</w:t>
            </w:r>
          </w:p>
          <w:p>
            <w:pPr>
              <w:spacing w:line="440" w:lineRule="exact"/>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●反应过程不均衡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5" w:hRule="atLeast"/>
          <w:jc w:val="center"/>
        </w:trPr>
        <w:tc>
          <w:tcPr>
            <w:tcW w:w="2673" w:type="dxa"/>
            <w:vAlign w:val="center"/>
          </w:tcPr>
          <w:p>
            <w:pPr>
              <w:spacing w:line="440" w:lineRule="exact"/>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白酒包装</w:t>
            </w:r>
          </w:p>
        </w:tc>
        <w:tc>
          <w:tcPr>
            <w:tcW w:w="6293"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●产品泄露</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●瓶身瑕疵</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●伪劣包装材料运输损坏</w:t>
            </w:r>
          </w:p>
          <w:p>
            <w:pPr>
              <w:spacing w:line="440" w:lineRule="exact"/>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●品牌声誉损坏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9" w:hRule="atLeast"/>
          <w:jc w:val="center"/>
        </w:trPr>
        <w:tc>
          <w:tcPr>
            <w:tcW w:w="2673" w:type="dxa"/>
            <w:vAlign w:val="center"/>
          </w:tcPr>
          <w:p>
            <w:pPr>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水资源</w:t>
            </w:r>
          </w:p>
        </w:tc>
        <w:tc>
          <w:tcPr>
            <w:tcW w:w="6293"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●白酒生产制造需要消耗大量的水</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●水质污染风险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●可能威胁到当地居民健康的问题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9" w:hRule="atLeast"/>
          <w:jc w:val="center"/>
        </w:trPr>
        <w:tc>
          <w:tcPr>
            <w:tcW w:w="2673" w:type="dxa"/>
            <w:vAlign w:val="center"/>
          </w:tcPr>
          <w:p>
            <w:pPr>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其他资源</w:t>
            </w:r>
          </w:p>
        </w:tc>
        <w:tc>
          <w:tcPr>
            <w:tcW w:w="6293"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●天然气等资源浪费风险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●窖泥霉变、开裂风险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●资源短缺风险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0" w:hRule="atLeast"/>
          <w:jc w:val="center"/>
        </w:trPr>
        <w:tc>
          <w:tcPr>
            <w:tcW w:w="2673" w:type="dxa"/>
            <w:vAlign w:val="center"/>
          </w:tcPr>
          <w:p>
            <w:pPr>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废物处理</w:t>
            </w:r>
          </w:p>
        </w:tc>
        <w:tc>
          <w:tcPr>
            <w:tcW w:w="6293"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●对酒厂附近环境有污染风险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●土壤污染风险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●危害人体身体健康风险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2" w:hRule="atLeast"/>
          <w:jc w:val="center"/>
        </w:trPr>
        <w:tc>
          <w:tcPr>
            <w:tcW w:w="2673" w:type="dxa"/>
            <w:vAlign w:val="center"/>
          </w:tcPr>
          <w:p>
            <w:pPr>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职业健康与安全</w:t>
            </w:r>
          </w:p>
        </w:tc>
        <w:tc>
          <w:tcPr>
            <w:tcW w:w="6293"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●高温和燃爆风险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●环境、粉尘风险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●设备操作风险</w:t>
            </w:r>
          </w:p>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●劳动损伤风险</w:t>
            </w:r>
          </w:p>
        </w:tc>
      </w:tr>
    </w:tbl>
    <w:p>
      <w:pPr>
        <w:spacing w:before="236" w:line="440" w:lineRule="exact"/>
        <w:ind w:right="-82" w:firstLine="480" w:firstLineChars="200"/>
        <w:jc w:val="center"/>
        <w:rPr>
          <w:rFonts w:hint="eastAsia" w:ascii="方正仿宋_GB2312" w:hAnsi="方正仿宋_GB2312" w:eastAsia="方正仿宋_GB2312" w:cs="方正仿宋_GB2312"/>
          <w:color w:val="002060"/>
          <w:kern w:val="0"/>
          <w:sz w:val="24"/>
          <w14:textFill>
            <w14:gradFill>
              <w14:gsLst>
                <w14:gs w14:pos="0">
                  <w14:srgbClr w14:val="007BD3"/>
                </w14:gs>
                <w14:gs w14:pos="100000">
                  <w14:srgbClr w14:val="034373"/>
                </w14:gs>
              </w14:gsLst>
              <w14:lin w14:ang="0" w14:scaled="0"/>
            </w14:gradFill>
          </w14:textFill>
        </w:rPr>
      </w:pPr>
      <w:r>
        <w:rPr>
          <w:rFonts w:hint="eastAsia" w:ascii="方正仿宋_GB2312" w:hAnsi="方正仿宋_GB2312" w:eastAsia="方正仿宋_GB2312" w:cs="方正仿宋_GB2312"/>
          <w:kern w:val="0"/>
          <w:sz w:val="24"/>
        </w:rPr>
        <w:t>表 5-8：白酒企业识别和评估生产管理中潜在和实际损害的风险因素</w:t>
      </w:r>
    </w:p>
    <w:tbl>
      <w:tblPr>
        <w:tblStyle w:val="7"/>
        <w:tblW w:w="8933"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5"/>
        <w:gridCol w:w="72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1725" w:type="dxa"/>
            <w:vAlign w:val="center"/>
          </w:tcPr>
          <w:p>
            <w:pPr>
              <w:spacing w:line="440" w:lineRule="exact"/>
              <w:ind w:right="-79"/>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lang w:eastAsia="en-US"/>
              </w:rPr>
              <w:t>风险领域</w:t>
            </w:r>
          </w:p>
        </w:tc>
        <w:tc>
          <w:tcPr>
            <w:tcW w:w="7208" w:type="dxa"/>
            <w:vAlign w:val="center"/>
          </w:tcPr>
          <w:p>
            <w:pPr>
              <w:spacing w:line="440" w:lineRule="exact"/>
              <w:ind w:right="-79"/>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白酒生产尽责管理要求示例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6" w:hRule="atLeast"/>
        </w:trPr>
        <w:tc>
          <w:tcPr>
            <w:tcW w:w="1725" w:type="dxa"/>
          </w:tcPr>
          <w:p>
            <w:pPr>
              <w:spacing w:before="236" w:line="440" w:lineRule="exact"/>
              <w:ind w:right="-82"/>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白酒生产安全</w:t>
            </w:r>
          </w:p>
        </w:tc>
        <w:tc>
          <w:tcPr>
            <w:tcW w:w="7208"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企业可以通过《中国安全生产法》来评估供应商是否遵循生产安全的法律法规。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725" w:type="dxa"/>
            <w:vAlign w:val="center"/>
          </w:tcPr>
          <w:p>
            <w:pPr>
              <w:spacing w:line="440" w:lineRule="exact"/>
              <w:ind w:right="-79"/>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制曲、制酒</w:t>
            </w:r>
          </w:p>
        </w:tc>
        <w:tc>
          <w:tcPr>
            <w:tcW w:w="7208" w:type="dxa"/>
            <w:vAlign w:val="center"/>
          </w:tcPr>
          <w:p>
            <w:pPr>
              <w:spacing w:line="440" w:lineRule="exact"/>
              <w:ind w:right="-79"/>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企业可以通过实地考察，观察供应商是否严格遵循生产工序。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3" w:hRule="atLeast"/>
        </w:trPr>
        <w:tc>
          <w:tcPr>
            <w:tcW w:w="1725" w:type="dxa"/>
          </w:tcPr>
          <w:p>
            <w:pPr>
              <w:spacing w:before="236" w:line="440" w:lineRule="exact"/>
              <w:ind w:right="-82"/>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勾贮</w:t>
            </w:r>
          </w:p>
        </w:tc>
        <w:tc>
          <w:tcPr>
            <w:tcW w:w="7208"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企业以《中华人民共和国特种设备安全法》为依据来判断供应商使用生产设备是否符合国家标准。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rPr>
        <w:tc>
          <w:tcPr>
            <w:tcW w:w="1725" w:type="dxa"/>
          </w:tcPr>
          <w:p>
            <w:pPr>
              <w:spacing w:before="236" w:line="440" w:lineRule="exact"/>
              <w:ind w:right="-82"/>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lang w:eastAsia="en-US"/>
              </w:rPr>
              <w:t>包装</w:t>
            </w:r>
            <w:r>
              <w:rPr>
                <w:rFonts w:hint="eastAsia" w:ascii="方正仿宋_GB2312" w:hAnsi="方正仿宋_GB2312" w:eastAsia="方正仿宋_GB2312" w:cs="方正仿宋_GB2312"/>
                <w:color w:val="000000"/>
                <w:kern w:val="0"/>
                <w:sz w:val="24"/>
              </w:rPr>
              <w:t>材料</w:t>
            </w:r>
          </w:p>
        </w:tc>
        <w:tc>
          <w:tcPr>
            <w:tcW w:w="7208"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企业进行检测，来判断供应商使用的材料是符合国家标准的包装材料，以确保材料的质量和安全性。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1725" w:type="dxa"/>
          </w:tcPr>
          <w:p>
            <w:pPr>
              <w:spacing w:before="236" w:line="440" w:lineRule="exact"/>
              <w:ind w:right="-82"/>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原材料质量</w:t>
            </w:r>
          </w:p>
        </w:tc>
        <w:tc>
          <w:tcPr>
            <w:tcW w:w="7208"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企业可通过实地考察和进行专业的质量检测来判定原材料是否符合生产标准。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1725" w:type="dxa"/>
          </w:tcPr>
          <w:p>
            <w:pPr>
              <w:spacing w:before="236" w:line="440" w:lineRule="exact"/>
              <w:ind w:right="-82"/>
              <w:rPr>
                <w:rFonts w:hint="eastAsia" w:ascii="方正仿宋_GB2312" w:hAnsi="方正仿宋_GB2312" w:eastAsia="方正仿宋_GB2312" w:cs="方正仿宋_GB2312"/>
                <w:color w:val="0070C0"/>
                <w:kern w:val="0"/>
                <w:sz w:val="24"/>
                <w14:textFill>
                  <w14:gradFill>
                    <w14:gsLst>
                      <w14:gs w14:pos="0">
                        <w14:srgbClr w14:val="007BD3"/>
                      </w14:gs>
                      <w14:gs w14:pos="100000">
                        <w14:srgbClr w14:val="034373"/>
                      </w14:gs>
                    </w14:gsLst>
                    <w14:lin w14:ang="0" w14:scaled="0"/>
                  </w14:gradFill>
                </w14:textFill>
              </w:rPr>
            </w:pPr>
            <w:r>
              <w:rPr>
                <w:rFonts w:hint="eastAsia" w:ascii="方正仿宋_GB2312" w:hAnsi="方正仿宋_GB2312" w:eastAsia="方正仿宋_GB2312" w:cs="方正仿宋_GB2312"/>
                <w:kern w:val="0"/>
                <w:sz w:val="24"/>
              </w:rPr>
              <w:t>原材料储存</w:t>
            </w:r>
          </w:p>
        </w:tc>
        <w:tc>
          <w:tcPr>
            <w:tcW w:w="7208" w:type="dxa"/>
          </w:tcPr>
          <w:p>
            <w:pPr>
              <w:spacing w:line="440" w:lineRule="exact"/>
              <w:rPr>
                <w:rFonts w:hint="eastAsia" w:ascii="方正仿宋_GB2312" w:hAnsi="方正仿宋_GB2312" w:eastAsia="方正仿宋_GB2312" w:cs="方正仿宋_GB2312"/>
                <w:color w:val="0070C0"/>
                <w:kern w:val="0"/>
                <w:sz w:val="24"/>
                <w14:textFill>
                  <w14:gradFill>
                    <w14:gsLst>
                      <w14:gs w14:pos="0">
                        <w14:srgbClr w14:val="007BD3"/>
                      </w14:gs>
                      <w14:gs w14:pos="100000">
                        <w14:srgbClr w14:val="034373"/>
                      </w14:gs>
                    </w14:gsLst>
                    <w14:lin w14:ang="0" w14:scaled="0"/>
                  </w14:gradFill>
                </w14:textFill>
              </w:rPr>
            </w:pPr>
            <w:r>
              <w:rPr>
                <w:rFonts w:hint="eastAsia" w:ascii="方正仿宋_GB2312" w:hAnsi="方正仿宋_GB2312" w:eastAsia="方正仿宋_GB2312" w:cs="方正仿宋_GB2312"/>
                <w:kern w:val="0"/>
                <w:sz w:val="24"/>
              </w:rPr>
              <w:t>企业定期对原材料进行质量检查，确保没有受潮、霉变或被其他物质污染，确保原材料存储符合标准。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1725" w:type="dxa"/>
          </w:tcPr>
          <w:p>
            <w:pPr>
              <w:spacing w:before="236" w:line="440" w:lineRule="exact"/>
              <w:ind w:right="-82"/>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原材料运输</w:t>
            </w:r>
          </w:p>
        </w:tc>
        <w:tc>
          <w:tcPr>
            <w:tcW w:w="7208"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企业需要掌握运输过程的信息、时刻关注着原材料运输的具体位置以及运输过程中原材料贮存环境是否对原材料有利。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1725" w:type="dxa"/>
            <w:vAlign w:val="center"/>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职业健康与安全</w:t>
            </w:r>
          </w:p>
        </w:tc>
        <w:tc>
          <w:tcPr>
            <w:tcW w:w="7208" w:type="dxa"/>
          </w:tcPr>
          <w:p>
            <w:pPr>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需加强粉尘治理，采取有效措施如加强通风等措施减少粉尘的产生和扩散。除此以外，企业需加强劳动保护用品管理，督促员工正确使用；建立职业健康与安全管理体系；加强培训教育；定期进行体检和健康检查。</w:t>
            </w:r>
          </w:p>
        </w:tc>
      </w:tr>
    </w:tbl>
    <w:p>
      <w:pPr>
        <w:spacing w:before="40" w:line="440" w:lineRule="exact"/>
        <w:ind w:firstLine="482" w:firstLineChars="200"/>
        <w:rPr>
          <w:rFonts w:asciiTheme="minorEastAsia" w:hAnsiTheme="minorEastAsia" w:cstheme="minorEastAsia"/>
          <w:b/>
          <w:bCs/>
          <w:kern w:val="0"/>
          <w:sz w:val="24"/>
        </w:rPr>
      </w:pPr>
      <w:bookmarkStart w:id="87" w:name="_Toc1069"/>
      <w:bookmarkStart w:id="88" w:name="_Toc26881"/>
      <w:r>
        <w:rPr>
          <w:rFonts w:hint="eastAsia" w:asciiTheme="minorEastAsia" w:hAnsiTheme="minorEastAsia" w:cstheme="minorEastAsia"/>
          <w:b/>
          <w:bCs/>
          <w:kern w:val="0"/>
          <w:sz w:val="24"/>
        </w:rPr>
        <w:t>实用行动</w:t>
      </w:r>
    </w:p>
    <w:p>
      <w:pPr>
        <w:spacing w:before="40" w:line="440" w:lineRule="exact"/>
        <w:ind w:firstLine="480" w:firstLineChars="200"/>
        <w:rPr>
          <w:rFonts w:asciiTheme="minorEastAsia" w:hAnsiTheme="minorEastAsia" w:cstheme="minorEastAsia"/>
          <w:kern w:val="0"/>
          <w:sz w:val="24"/>
        </w:rPr>
      </w:pPr>
      <w:r>
        <w:rPr>
          <w:rFonts w:hint="eastAsia" w:asciiTheme="minorEastAsia" w:hAnsiTheme="minorEastAsia" w:cstheme="minorEastAsia"/>
          <w:kern w:val="0"/>
          <w:sz w:val="24"/>
        </w:rPr>
        <w:t>●初步了解企业生产领域和业务关系类型的基本概况，以理解需要收集哪些信息。</w:t>
      </w:r>
    </w:p>
    <w:p>
      <w:pPr>
        <w:spacing w:before="40" w:line="440" w:lineRule="exact"/>
        <w:ind w:firstLine="480" w:firstLineChars="200"/>
        <w:rPr>
          <w:rFonts w:asciiTheme="minorEastAsia" w:hAnsiTheme="minorEastAsia" w:cstheme="minorEastAsia"/>
          <w:kern w:val="0"/>
          <w:sz w:val="24"/>
        </w:rPr>
      </w:pPr>
      <w:r>
        <w:rPr>
          <w:rFonts w:hint="eastAsia" w:asciiTheme="minorEastAsia" w:hAnsiTheme="minorEastAsia" w:cstheme="minorEastAsia"/>
          <w:kern w:val="0"/>
          <w:sz w:val="24"/>
        </w:rPr>
        <w:t>●识别最重要的负责任商业行为风险领域，并且将这些风险领域进行优先级排序，以此为起点，更加深入地评估潜在与实际的影响。</w:t>
      </w:r>
    </w:p>
    <w:p>
      <w:pPr>
        <w:spacing w:line="440" w:lineRule="exact"/>
        <w:ind w:right="-79" w:firstLine="480" w:firstLineChars="200"/>
        <w:rPr>
          <w:rFonts w:asciiTheme="minorEastAsia" w:hAnsiTheme="minorEastAsia" w:cstheme="minorEastAsia"/>
          <w:kern w:val="0"/>
          <w:sz w:val="24"/>
        </w:rPr>
      </w:pPr>
      <w:r>
        <w:rPr>
          <w:rFonts w:hint="eastAsia" w:asciiTheme="minorEastAsia" w:hAnsiTheme="minorEastAsia" w:cstheme="minorEastAsia"/>
          <w:kern w:val="0"/>
          <w:sz w:val="24"/>
        </w:rPr>
        <w:t>●定期审查范围界定的结果。</w:t>
      </w:r>
    </w:p>
    <w:p>
      <w:pPr>
        <w:spacing w:line="440" w:lineRule="exact"/>
        <w:ind w:right="-79" w:firstLine="480" w:firstLineChars="200"/>
        <w:rPr>
          <w:rFonts w:asciiTheme="minorEastAsia" w:hAnsiTheme="minorEastAsia" w:cstheme="minorEastAsia"/>
          <w:kern w:val="0"/>
          <w:sz w:val="24"/>
        </w:rPr>
      </w:pPr>
      <w:r>
        <w:rPr>
          <w:rFonts w:hint="eastAsia" w:asciiTheme="minorEastAsia" w:hAnsiTheme="minorEastAsia" w:cstheme="minorEastAsia"/>
          <w:kern w:val="0"/>
          <w:sz w:val="24"/>
        </w:rPr>
        <w:t>●根据需要定期重新评估影响：在做出重大决定或活动中发生重大变化之前；应对或预测运营环境发生变化；以及在活动或业务关系全过程中定期评估影响。</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89" w:name="_Toc24132"/>
      <w:r>
        <w:rPr>
          <w:rFonts w:hint="eastAsia" w:ascii="方正公文黑体" w:hAnsi="方正公文黑体" w:eastAsia="方正公文黑体" w:cs="方正公文黑体"/>
          <w:sz w:val="28"/>
          <w:szCs w:val="28"/>
          <w:lang w:val="en-US" w:eastAsia="zh-CN"/>
        </w:rPr>
        <w:t>5.2.3终止、防范或减轻</w:t>
      </w:r>
      <w:bookmarkEnd w:id="87"/>
      <w:bookmarkEnd w:id="88"/>
      <w:r>
        <w:rPr>
          <w:rFonts w:hint="eastAsia" w:ascii="方正公文黑体" w:hAnsi="方正公文黑体" w:eastAsia="方正公文黑体" w:cs="方正公文黑体"/>
          <w:sz w:val="28"/>
          <w:szCs w:val="28"/>
          <w:lang w:val="en-US" w:eastAsia="zh-CN"/>
        </w:rPr>
        <w:t>风险</w:t>
      </w:r>
      <w:bookmarkEnd w:id="89"/>
    </w:p>
    <w:p>
      <w:pPr>
        <w:spacing w:before="156" w:beforeLines="50" w:line="440" w:lineRule="exact"/>
        <w:ind w:right="-79" w:firstLine="480" w:firstLineChars="200"/>
        <w:rPr>
          <w:rFonts w:asciiTheme="minorEastAsia" w:hAnsiTheme="minorEastAsia" w:cstheme="minorEastAsia"/>
          <w:kern w:val="0"/>
          <w:sz w:val="24"/>
        </w:rPr>
      </w:pPr>
      <w:r>
        <w:rPr>
          <w:rFonts w:hint="eastAsia" w:asciiTheme="minorEastAsia" w:hAnsiTheme="minorEastAsia" w:cstheme="minorEastAsia"/>
          <w:kern w:val="0"/>
          <w:sz w:val="24"/>
        </w:rPr>
        <w:t>对负责任商业风险的全面识别与评估是基础，预防风险是手段，终止与减轻风险出现的可能性是企业尽责管理最终的目的。尽责的</w:t>
      </w:r>
      <w:r>
        <w:rPr>
          <w:rFonts w:asciiTheme="minorEastAsia" w:hAnsiTheme="minorEastAsia" w:cstheme="minorEastAsia"/>
          <w:kern w:val="0"/>
          <w:sz w:val="24"/>
        </w:rPr>
        <w:t>风险管理可以通过让员工、客户和其他</w:t>
      </w:r>
      <w:r>
        <w:rPr>
          <w:rFonts w:hint="eastAsia" w:asciiTheme="minorEastAsia" w:hAnsiTheme="minorEastAsia" w:cstheme="minorEastAsia"/>
          <w:kern w:val="0"/>
          <w:sz w:val="24"/>
        </w:rPr>
        <w:t>利益相关方</w:t>
      </w:r>
      <w:r>
        <w:rPr>
          <w:rFonts w:asciiTheme="minorEastAsia" w:hAnsiTheme="minorEastAsia" w:cstheme="minorEastAsia"/>
          <w:kern w:val="0"/>
          <w:sz w:val="24"/>
        </w:rPr>
        <w:t>知道公司是负责任</w:t>
      </w:r>
      <w:r>
        <w:rPr>
          <w:rFonts w:hint="eastAsia" w:asciiTheme="minorEastAsia" w:hAnsiTheme="minorEastAsia" w:cstheme="minorEastAsia"/>
          <w:kern w:val="0"/>
          <w:sz w:val="24"/>
        </w:rPr>
        <w:t>的，</w:t>
      </w:r>
      <w:r>
        <w:rPr>
          <w:rFonts w:asciiTheme="minorEastAsia" w:hAnsiTheme="minorEastAsia" w:cstheme="minorEastAsia"/>
          <w:kern w:val="0"/>
          <w:sz w:val="24"/>
        </w:rPr>
        <w:t>这使得企业风险管理的必要性变得显而易见</w:t>
      </w:r>
      <w:r>
        <w:rPr>
          <w:rFonts w:hint="eastAsia" w:asciiTheme="minorEastAsia" w:hAnsiTheme="minorEastAsia" w:cstheme="minorEastAsia"/>
          <w:kern w:val="0"/>
          <w:sz w:val="24"/>
        </w:rPr>
        <w:t>，</w:t>
      </w:r>
      <w:r>
        <w:rPr>
          <w:rFonts w:asciiTheme="minorEastAsia" w:hAnsiTheme="minorEastAsia" w:cstheme="minorEastAsia"/>
          <w:kern w:val="0"/>
          <w:sz w:val="24"/>
        </w:rPr>
        <w:t>制定相应的应对策略，减轻和控制风险的影响，有助于一致和有效的</w:t>
      </w:r>
      <w:r>
        <w:rPr>
          <w:rFonts w:hint="eastAsia" w:asciiTheme="minorEastAsia" w:hAnsiTheme="minorEastAsia" w:cstheme="minorEastAsia"/>
          <w:kern w:val="0"/>
          <w:sz w:val="24"/>
        </w:rPr>
        <w:t>生产</w:t>
      </w:r>
      <w:r>
        <w:rPr>
          <w:rFonts w:asciiTheme="minorEastAsia" w:hAnsiTheme="minorEastAsia" w:cstheme="minorEastAsia"/>
          <w:kern w:val="0"/>
          <w:sz w:val="24"/>
        </w:rPr>
        <w:t>运营。</w:t>
      </w:r>
    </w:p>
    <w:p>
      <w:pPr>
        <w:spacing w:line="440" w:lineRule="exact"/>
        <w:ind w:firstLine="480" w:firstLineChars="200"/>
        <w:rPr>
          <w:rFonts w:asciiTheme="minorEastAsia" w:hAnsiTheme="minorEastAsia" w:cstheme="minorEastAsia"/>
          <w:kern w:val="0"/>
          <w:sz w:val="24"/>
        </w:rPr>
      </w:pPr>
      <w:r>
        <w:rPr>
          <w:sz w:val="24"/>
        </w:rPr>
        <mc:AlternateContent>
          <mc:Choice Requires="wps">
            <w:drawing>
              <wp:anchor distT="0" distB="0" distL="114300" distR="114300" simplePos="0" relativeHeight="251680768" behindDoc="0" locked="0" layoutInCell="1" allowOverlap="1">
                <wp:simplePos x="0" y="0"/>
                <wp:positionH relativeFrom="column">
                  <wp:posOffset>284480</wp:posOffset>
                </wp:positionH>
                <wp:positionV relativeFrom="paragraph">
                  <wp:posOffset>179705</wp:posOffset>
                </wp:positionV>
                <wp:extent cx="5262245" cy="0"/>
                <wp:effectExtent l="15875" t="15875" r="0" b="22225"/>
                <wp:wrapNone/>
                <wp:docPr id="21" name="直接连接符 21"/>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2.4pt;margin-top:14.15pt;height:0pt;width:414.35pt;z-index:251680768;mso-width-relative:page;mso-height-relative:page;" filled="f" stroked="t" coordsize="21600,21600" o:gfxdata="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gK67v9QAAAAIAQAADwAAAAAAAAABACAA&#10;AAAiAAAAZHJzL2Rvd25yZXYueG1sUEsBAhQAFAAAAAgAh07iQJbn0un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spacing w:line="440" w:lineRule="exact"/>
        <w:ind w:firstLine="480" w:firstLineChars="200"/>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pPr>
      <w:r>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t>✬重要提示：制定和实施行动改进计划是终止、预防或缓解风险的途径</w:t>
      </w:r>
    </w:p>
    <w:p>
      <w:pPr>
        <w:spacing w:line="440" w:lineRule="exact"/>
        <w:ind w:firstLine="480" w:firstLineChars="200"/>
        <w:rPr>
          <w:rFonts w:hint="eastAsia" w:ascii="方正仿宋_GB2312" w:hAnsi="方正仿宋_GB2312" w:eastAsia="方正仿宋_GB2312" w:cs="方正仿宋_GB2312"/>
          <w:kern w:val="0"/>
          <w:sz w:val="24"/>
        </w:rPr>
      </w:pPr>
      <w:r>
        <w:rPr>
          <w:rFonts w:hint="eastAsia" w:ascii="方正仿宋_GB2312" w:hAnsi="方正仿宋_GB2312" w:eastAsia="方正仿宋_GB2312" w:cs="方正仿宋_GB2312"/>
          <w:color w:val="000000"/>
          <w:kern w:val="0"/>
          <w:sz w:val="24"/>
        </w:rPr>
        <w:t>许多白酒企业因为生产不规范，从而导致流入市场的商品品质出现严重问题，例如酒精度不合格，甲醇超标，以及私自乱用添加剂。在生产过程中操作不当也会引起一些危害。为了防止解决措施的碎片化或者管理漏洞，白酒企业可制定白酒生产管理行动改进计划表，明确风险类型、原因（例如生产安全风险、产品质量安全风险等），确定负责部门和人员（例如生产管理部、生产车间、卫生检察部等），制定时间期限和复核指标，在响应时间期限内检查行动改进计划的效果。</w:t>
      </w:r>
    </w:p>
    <w:p>
      <w:pPr>
        <w:spacing w:before="156" w:beforeLines="50" w:line="440" w:lineRule="exact"/>
        <w:ind w:right="-79" w:firstLine="480" w:firstLineChars="200"/>
        <w:rPr>
          <w:rFonts w:asciiTheme="minorEastAsia" w:hAnsiTheme="minorEastAsia" w:cstheme="minorEastAsia"/>
          <w:kern w:val="0"/>
          <w:sz w:val="24"/>
        </w:rPr>
      </w:pPr>
      <w:r>
        <w:rPr>
          <w:sz w:val="24"/>
        </w:rPr>
        <mc:AlternateContent>
          <mc:Choice Requires="wps">
            <w:drawing>
              <wp:anchor distT="0" distB="0" distL="114300" distR="114300" simplePos="0" relativeHeight="251684864" behindDoc="0" locked="0" layoutInCell="1" allowOverlap="1">
                <wp:simplePos x="0" y="0"/>
                <wp:positionH relativeFrom="column">
                  <wp:posOffset>232410</wp:posOffset>
                </wp:positionH>
                <wp:positionV relativeFrom="paragraph">
                  <wp:posOffset>67310</wp:posOffset>
                </wp:positionV>
                <wp:extent cx="5262245" cy="0"/>
                <wp:effectExtent l="15875" t="15875" r="0" b="22225"/>
                <wp:wrapNone/>
                <wp:docPr id="22" name="直接连接符 22"/>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8.3pt;margin-top:5.3pt;height:0pt;width:414.35pt;z-index:251684864;mso-width-relative:page;mso-height-relative:page;" filled="f" stroked="t" coordsize="21600,21600" o:gfxdata="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oRroz9QAAAAIAQAADwAAAAAAAAABACAA&#10;AAAiAAAAZHJzL2Rvd25yZXYueG1sUEsBAhQAFAAAAAgAh07iQGXd+ErYAQAAkQMAAA4AAAAAAAAA&#10;AQAgAAAAIwEAAGRycy9lMm9Eb2MueG1sUEsFBgAAAAAGAAYAWQEAAG0FAAAAAA==&#10;">
                <v:fill on="f" focussize="0,0"/>
                <v:stroke weight="2.5pt" color="#4874CB [3204]" joinstyle="round" dashstyle="1 1" endcap="round"/>
                <v:imagedata o:title=""/>
                <o:lock v:ext="edit" aspectratio="f"/>
              </v:line>
            </w:pict>
          </mc:Fallback>
        </mc:AlternateContent>
      </w:r>
      <w:r>
        <w:rPr>
          <w:rFonts w:hint="eastAsia" w:asciiTheme="minorEastAsia" w:hAnsiTheme="minorEastAsia" w:cstheme="minorEastAsia"/>
          <w:kern w:val="0"/>
          <w:sz w:val="24"/>
        </w:rPr>
        <w:t>企业应对白酒生产风险设立一定的防范措施，可分为内部风险防范措施和外部风险防范措施两方面。</w:t>
      </w:r>
    </w:p>
    <w:p>
      <w:pPr>
        <w:spacing w:line="440" w:lineRule="exact"/>
        <w:ind w:right="-79" w:firstLine="480" w:firstLineChars="200"/>
        <w:rPr>
          <w:rFonts w:asciiTheme="minorEastAsia" w:hAnsiTheme="minorEastAsia" w:cstheme="minorEastAsia"/>
          <w:kern w:val="0"/>
          <w:sz w:val="24"/>
        </w:rPr>
      </w:pPr>
      <w:r>
        <w:rPr>
          <w:rFonts w:hint="eastAsia" w:asciiTheme="minorEastAsia" w:hAnsiTheme="minorEastAsia" w:cstheme="minorEastAsia"/>
          <w:kern w:val="0"/>
          <w:sz w:val="24"/>
        </w:rPr>
        <w:t>内部风险防范措施：生产企业应注重设备设施安全，定期进行维护检查，及时发现问题，定期完善的应急预案，定期组织员工进行应急演练等。</w:t>
      </w:r>
    </w:p>
    <w:p>
      <w:pPr>
        <w:spacing w:line="440" w:lineRule="exact"/>
        <w:ind w:right="-79" w:firstLine="480" w:firstLineChars="200"/>
        <w:rPr>
          <w:rFonts w:asciiTheme="minorEastAsia" w:hAnsiTheme="minorEastAsia" w:cstheme="minorEastAsia"/>
          <w:kern w:val="0"/>
          <w:sz w:val="24"/>
        </w:rPr>
      </w:pPr>
      <w:r>
        <w:rPr>
          <w:rFonts w:hint="eastAsia" w:asciiTheme="minorEastAsia" w:hAnsiTheme="minorEastAsia" w:cstheme="minorEastAsia"/>
          <w:kern w:val="0"/>
          <w:sz w:val="24"/>
        </w:rPr>
        <w:t>外部风险防范措施：加强环保管理，保证在生产过程中符合环保法规和标准。加强公共关系管理，积极履行社会责任，提高企业的社会形象和声誉，加强与政府社会沟通，更好了解社会需求，了解政策等。</w:t>
      </w:r>
    </w:p>
    <w:p>
      <w:pPr>
        <w:spacing w:line="440" w:lineRule="exact"/>
        <w:ind w:right="-79"/>
        <w:jc w:val="center"/>
        <w:rPr>
          <w:rFonts w:hint="eastAsia" w:ascii="方正仿宋_GB2312" w:hAnsi="方正仿宋_GB2312" w:eastAsia="方正仿宋_GB2312" w:cs="方正仿宋_GB2312"/>
          <w:kern w:val="0"/>
          <w:sz w:val="24"/>
        </w:rPr>
      </w:pPr>
      <w:r>
        <w:rPr>
          <w:rFonts w:hint="eastAsia" w:ascii="方正仿宋_GB2312" w:hAnsi="方正仿宋_GB2312" w:eastAsia="方正仿宋_GB2312" w:cs="方正仿宋_GB2312"/>
          <w:kern w:val="0"/>
          <w:sz w:val="24"/>
        </w:rPr>
        <w:t>表 5-9：生产中重点风险领域企业终止、防范或减轻风险的行动措施</w:t>
      </w:r>
    </w:p>
    <w:tbl>
      <w:tblPr>
        <w:tblStyle w:val="7"/>
        <w:tblW w:w="9000"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0"/>
        <w:gridCol w:w="69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76" w:hRule="atLeast"/>
        </w:trPr>
        <w:tc>
          <w:tcPr>
            <w:tcW w:w="2020" w:type="dxa"/>
          </w:tcPr>
          <w:p>
            <w:pPr>
              <w:autoSpaceDE w:val="0"/>
              <w:autoSpaceDN w:val="0"/>
              <w:spacing w:before="81" w:line="440" w:lineRule="exact"/>
              <w:ind w:left="364"/>
              <w:jc w:val="left"/>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lang w:eastAsia="en-US"/>
              </w:rPr>
              <w:t>风险领域</w:t>
            </w:r>
          </w:p>
        </w:tc>
        <w:tc>
          <w:tcPr>
            <w:tcW w:w="6980" w:type="dxa"/>
          </w:tcPr>
          <w:p>
            <w:pPr>
              <w:autoSpaceDE w:val="0"/>
              <w:autoSpaceDN w:val="0"/>
              <w:spacing w:before="81" w:line="440" w:lineRule="exact"/>
              <w:ind w:left="208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企业可以采取的行动措施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7" w:hRule="atLeast"/>
        </w:trPr>
        <w:tc>
          <w:tcPr>
            <w:tcW w:w="2020" w:type="dxa"/>
            <w:vAlign w:val="center"/>
          </w:tcPr>
          <w:p>
            <w:pPr>
              <w:autoSpaceDE w:val="0"/>
              <w:autoSpaceDN w:val="0"/>
              <w:spacing w:before="81" w:line="440" w:lineRule="exact"/>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白酒生产制造安全</w:t>
            </w:r>
          </w:p>
        </w:tc>
        <w:tc>
          <w:tcPr>
            <w:tcW w:w="6980" w:type="dxa"/>
          </w:tcPr>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●安排相关人员对生产设备做定期的安全检查和设备清洗。</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●对新上岗员工进行上岗生产培训操作，增强员工的知识储备。</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●强化安全生产培训学习。</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●落实安全生产责任制。</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●定期进行安全审查和风险评估。</w:t>
            </w:r>
          </w:p>
          <w:p>
            <w:pPr>
              <w:autoSpaceDE w:val="0"/>
              <w:autoSpaceDN w:val="0"/>
              <w:spacing w:before="2" w:line="440" w:lineRule="exact"/>
              <w:ind w:left="107"/>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●构建多元安全生产监督模式。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7" w:hRule="atLeast"/>
        </w:trPr>
        <w:tc>
          <w:tcPr>
            <w:tcW w:w="2020" w:type="dxa"/>
            <w:vAlign w:val="center"/>
          </w:tcPr>
          <w:p>
            <w:pPr>
              <w:autoSpaceDE w:val="0"/>
              <w:autoSpaceDN w:val="0"/>
              <w:spacing w:before="81"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白酒生产质量</w:t>
            </w:r>
          </w:p>
        </w:tc>
        <w:tc>
          <w:tcPr>
            <w:tcW w:w="6980" w:type="dxa"/>
          </w:tcPr>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●原材料投产检验。</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●严格的生产工艺控制。</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●建立完善的质量控制体系。</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●提高员工对生产工艺和质量标准的理解。</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●建立反馈机制和改进措施。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7" w:hRule="atLeast"/>
        </w:trPr>
        <w:tc>
          <w:tcPr>
            <w:tcW w:w="2020" w:type="dxa"/>
            <w:vAlign w:val="center"/>
          </w:tcPr>
          <w:p>
            <w:pPr>
              <w:autoSpaceDE w:val="0"/>
              <w:autoSpaceDN w:val="0"/>
              <w:spacing w:before="81"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lang w:eastAsia="en-US"/>
              </w:rPr>
              <w:t>制曲</w:t>
            </w:r>
            <w:r>
              <w:rPr>
                <w:rFonts w:hint="eastAsia" w:ascii="方正仿宋_GB2312" w:hAnsi="方正仿宋_GB2312" w:eastAsia="方正仿宋_GB2312" w:cs="方正仿宋_GB2312"/>
                <w:color w:val="000000"/>
                <w:kern w:val="0"/>
                <w:sz w:val="24"/>
              </w:rPr>
              <w:t>、制酒</w:t>
            </w:r>
          </w:p>
        </w:tc>
        <w:tc>
          <w:tcPr>
            <w:tcW w:w="6980" w:type="dxa"/>
          </w:tcPr>
          <w:p>
            <w:pPr>
              <w:autoSpaceDE w:val="0"/>
              <w:autoSpaceDN w:val="0"/>
              <w:spacing w:before="2" w:line="440" w:lineRule="exact"/>
              <w:ind w:left="107"/>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●加强生产现场管理。</w:t>
            </w:r>
          </w:p>
          <w:p>
            <w:pPr>
              <w:autoSpaceDE w:val="0"/>
              <w:autoSpaceDN w:val="0"/>
              <w:spacing w:before="2" w:line="440" w:lineRule="exact"/>
              <w:ind w:left="107"/>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●对制酒、制曲的过程中需时刻防止杂菌的进入，避免影响产品的风味以及食品安全。</w:t>
            </w:r>
          </w:p>
          <w:p>
            <w:pPr>
              <w:autoSpaceDE w:val="0"/>
              <w:autoSpaceDN w:val="0"/>
              <w:spacing w:before="2" w:line="440" w:lineRule="exact"/>
              <w:ind w:left="107"/>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●对于制曲原材料要按照严格的生产程序来进行杀菌，消毒。</w:t>
            </w:r>
          </w:p>
          <w:p>
            <w:pPr>
              <w:autoSpaceDE w:val="0"/>
              <w:autoSpaceDN w:val="0"/>
              <w:spacing w:before="2" w:line="440" w:lineRule="exact"/>
              <w:ind w:left="107"/>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●生产车间要禁止外来人员的进入。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 w:hRule="atLeast"/>
        </w:trPr>
        <w:tc>
          <w:tcPr>
            <w:tcW w:w="2020" w:type="dxa"/>
            <w:vAlign w:val="center"/>
          </w:tcPr>
          <w:p>
            <w:pPr>
              <w:autoSpaceDE w:val="0"/>
              <w:autoSpaceDN w:val="0"/>
              <w:spacing w:before="80" w:line="440" w:lineRule="exact"/>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rPr>
              <w:t>勾贮</w:t>
            </w:r>
          </w:p>
        </w:tc>
        <w:tc>
          <w:tcPr>
            <w:tcW w:w="6980" w:type="dxa"/>
          </w:tcPr>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●企业应当加强建设生产线上的基础设施。</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●安排相应的工作人员对勾贮设备进行定期维护。</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●环境通风及温湿度控制。</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●采用透明度低的容器，远离阳光直射和强光源。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6" w:hRule="atLeast"/>
        </w:trPr>
        <w:tc>
          <w:tcPr>
            <w:tcW w:w="2020" w:type="dxa"/>
            <w:vAlign w:val="center"/>
          </w:tcPr>
          <w:p>
            <w:pPr>
              <w:autoSpaceDE w:val="0"/>
              <w:autoSpaceDN w:val="0"/>
              <w:spacing w:before="80" w:line="440" w:lineRule="exact"/>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lang w:eastAsia="en-US"/>
              </w:rPr>
              <w:t>白酒包装</w:t>
            </w:r>
          </w:p>
        </w:tc>
        <w:tc>
          <w:tcPr>
            <w:tcW w:w="6980" w:type="dxa"/>
          </w:tcPr>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●企业在选择包装供应商时应选择诚信度高、口碑好的，以防包装供应商会对企业的产品信息进行泄露或贩卖。</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●要对包装瓶身进行严格的检查，不能出现瓶身磕碰损伤，或者出现气密性不好的情况。</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●所使用包装材料需满足国家安全标准，企业应选用食品级包装。</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●包装的外观美观大方，以便提高公司声誉。</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●对包装岗位的员工进行上岗培训。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020" w:type="dxa"/>
            <w:vAlign w:val="center"/>
          </w:tcPr>
          <w:p>
            <w:pPr>
              <w:autoSpaceDE w:val="0"/>
              <w:autoSpaceDN w:val="0"/>
              <w:spacing w:before="81"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水资源</w:t>
            </w:r>
          </w:p>
        </w:tc>
        <w:tc>
          <w:tcPr>
            <w:tcW w:w="6980" w:type="dxa"/>
          </w:tcPr>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●避免水资源过度利用，改善生产过程中的水循环利用系统，减少废水排放。</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●水质监测和管理，合理规划和管理水资源的利用。</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●对于可能发生的水资源问题，如突发性水污染事件或水资源短缺情况，制定相应的应对措施和紧急处理方案，以及危机公关策略。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020" w:type="dxa"/>
            <w:vAlign w:val="center"/>
          </w:tcPr>
          <w:p>
            <w:pPr>
              <w:autoSpaceDE w:val="0"/>
              <w:autoSpaceDN w:val="0"/>
              <w:spacing w:before="81"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其他资源</w:t>
            </w:r>
          </w:p>
        </w:tc>
        <w:tc>
          <w:tcPr>
            <w:tcW w:w="6980" w:type="dxa"/>
          </w:tcPr>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●严格遵守天然气使用和安全操作规程；安装天然气泄漏报警装置；定期对天然气管道和设备进行检查和维护；培训员工正确使用天然气设备。</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●完善窖泥合格标准，避免固形物过多；建立窖泥处理系统，例如进行厌氧发酵、堆肥处理等，避免对周围环境造成污染。</w:t>
            </w:r>
          </w:p>
          <w:p>
            <w:pPr>
              <w:autoSpaceDE w:val="0"/>
              <w:autoSpaceDN w:val="0"/>
              <w:spacing w:before="1" w:line="440" w:lineRule="exact"/>
              <w:ind w:left="107"/>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●优化生产工艺，，应用高效节能的天然气设备，减少天然气的使用量；探索窖泥资源的综合利用，例如生物质能源生产等。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7" w:hRule="atLeast"/>
        </w:trPr>
        <w:tc>
          <w:tcPr>
            <w:tcW w:w="2020" w:type="dxa"/>
            <w:vAlign w:val="center"/>
          </w:tcPr>
          <w:p>
            <w:pPr>
              <w:autoSpaceDE w:val="0"/>
              <w:autoSpaceDN w:val="0"/>
              <w:spacing w:before="81"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废物处理</w:t>
            </w:r>
          </w:p>
        </w:tc>
        <w:tc>
          <w:tcPr>
            <w:tcW w:w="6980" w:type="dxa"/>
          </w:tcPr>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●建立废水处理系统，酒厂的废水处理应当经过处理达到排放标准方可排放。</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●探索资源的综合利用，提高酒糟处理技术，提高资源利用率，招揽相关的技术型人才。</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●健全的废物管理制度和流程，确保废物处理工作符合法律法规的要求，加强对废物处理过程的监管和检查。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7" w:hRule="atLeast"/>
        </w:trPr>
        <w:tc>
          <w:tcPr>
            <w:tcW w:w="2020" w:type="dxa"/>
            <w:vAlign w:val="center"/>
          </w:tcPr>
          <w:p>
            <w:pPr>
              <w:autoSpaceDE w:val="0"/>
              <w:autoSpaceDN w:val="0"/>
              <w:spacing w:before="81"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职业健康与安全</w:t>
            </w:r>
          </w:p>
        </w:tc>
        <w:tc>
          <w:tcPr>
            <w:tcW w:w="6980" w:type="dxa"/>
          </w:tcPr>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●提供充足的个人防护装备，如手套、护目镜、口罩等，并确保员工严格按照操作规程进行操作，保障员工的健康安全。</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●开展相关的操作及安全培训，确保员工熟悉设备及相关操作流程，了解如何正确应对突发情况，并配备必要的安全设备。</w:t>
            </w:r>
          </w:p>
          <w:p>
            <w:pPr>
              <w:autoSpaceDE w:val="0"/>
              <w:autoSpaceDN w:val="0"/>
              <w:spacing w:before="8" w:line="440" w:lineRule="exact"/>
              <w:ind w:left="107" w:right="95"/>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●减少员工负重劳动的频率和强度，并定期进行职业健康检查。</w:t>
            </w:r>
          </w:p>
        </w:tc>
      </w:tr>
    </w:tbl>
    <w:p>
      <w:pPr>
        <w:spacing w:line="440" w:lineRule="exact"/>
        <w:ind w:firstLine="460" w:firstLineChars="200"/>
        <w:rPr>
          <w:rFonts w:asciiTheme="minorEastAsia" w:hAnsiTheme="minorEastAsia" w:cstheme="minorEastAsia"/>
          <w:color w:val="FF0000"/>
          <w:spacing w:val="-5"/>
          <w:sz w:val="24"/>
          <w14:textOutline w14:w="4356" w14:cap="sq" w14:cmpd="sng" w14:algn="ctr">
            <w14:solidFill>
              <w14:srgbClr w14:val="000000"/>
            </w14:solidFill>
            <w14:prstDash w14:val="solid"/>
            <w14:bevel/>
          </w14:textOutline>
        </w:rPr>
      </w:pPr>
      <w:bookmarkStart w:id="90" w:name="_Toc4498"/>
      <w:bookmarkStart w:id="91" w:name="_Toc27097"/>
      <w:r>
        <w:rPr>
          <w:rFonts w:hint="eastAsia" w:asciiTheme="minorEastAsia" w:hAnsiTheme="minorEastAsia" w:cstheme="minorEastAsia"/>
          <w:color w:val="FF0000"/>
          <w:spacing w:val="-5"/>
          <w:sz w:val="24"/>
          <w14:textOutline w14:w="4356" w14:cap="sq" w14:cmpd="sng" w14:algn="ctr">
            <w14:solidFill>
              <w14:srgbClr w14:val="000000"/>
            </w14:solidFill>
            <w14:prstDash w14:val="solid"/>
            <w14:bevel/>
          </w14:textOutline>
        </w:rPr>
        <w:t>实用行动</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xml:space="preserve">●征询业务关系、其他相关企业及其他有关利益相关方的意见。 </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xml:space="preserve">●征询受影响利益相关方和权利人或其合法代表的意见。 </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xml:space="preserve">●寻求必要的相关内部或外部专业知识。 </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●如果受影响利益相关方或权利人不同意企业对自身涉及实际或潜在风险的情况评估，真诚地与旨在帮助解决分歧的相关方提供补救的机会。</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●识别哪些潜在或实际影响可以立刻加以消除，至少在某种程度上消除（如更新与供应商的合同条款、修订审核协议，以关注先前审核期间忽视的风险）。</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在防范或减轻严重影响的努力失败后，风险不可补救，或不可能做出适当变更，或者严重影响或风险已被识别但造成影响的实体未立刻采取行动防范或减轻影响——在这些情况下，考虑作为最后的手段，解除与供应商的关系或其他业务关系。解除关系的计划还应考虑供应商或业务关系对企业的重要性、保持或结束业务关系的法律意义、解除关系可能如何切实改变影响，以及与解除关系的决定相关的潜在社会与经济风险的可信信息。</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●企业如果决定继续保持业务关系，应准备好说明其正在进行的减轻风险的工作，并了解保持业务关系的声誉、财务或法律风险。</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●鼓励影响国家相关管理部门采取行动，比如通过检查、执行和应用现有法律法规。</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92" w:name="_Toc30160"/>
      <w:r>
        <w:rPr>
          <w:rFonts w:hint="eastAsia" w:ascii="方正公文黑体" w:hAnsi="方正公文黑体" w:eastAsia="方正公文黑体" w:cs="方正公文黑体"/>
          <w:sz w:val="28"/>
          <w:szCs w:val="28"/>
          <w:lang w:val="en-US" w:eastAsia="zh-CN"/>
        </w:rPr>
        <w:t>5.2.4追踪实施情况与结果</w:t>
      </w:r>
      <w:bookmarkEnd w:id="90"/>
      <w:bookmarkEnd w:id="91"/>
      <w:bookmarkEnd w:id="92"/>
    </w:p>
    <w:p>
      <w:pPr>
        <w:autoSpaceDE w:val="0"/>
        <w:autoSpaceDN w:val="0"/>
        <w:spacing w:before="40"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持续关注企业尽责管理活动的实施情况及其有效性，也就是企业识别、防范、减轻以及酌情支持补救风险的措施，同时也包括与业务关系共同开展的活动。根据跟踪的结果，吸取经验教训，以便在未来对这些过程进行持续的改善和优化。</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sz w:val="24"/>
        </w:rPr>
        <mc:AlternateContent>
          <mc:Choice Requires="wps">
            <w:drawing>
              <wp:anchor distT="0" distB="0" distL="114300" distR="114300" simplePos="0" relativeHeight="251686912" behindDoc="0" locked="0" layoutInCell="1" allowOverlap="1">
                <wp:simplePos x="0" y="0"/>
                <wp:positionH relativeFrom="column">
                  <wp:posOffset>241300</wp:posOffset>
                </wp:positionH>
                <wp:positionV relativeFrom="paragraph">
                  <wp:posOffset>213360</wp:posOffset>
                </wp:positionV>
                <wp:extent cx="5262245" cy="0"/>
                <wp:effectExtent l="15875" t="15875" r="0" b="22225"/>
                <wp:wrapNone/>
                <wp:docPr id="23" name="直接连接符 23"/>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9pt;margin-top:16.8pt;height:0pt;width:414.35pt;z-index:251686912;mso-width-relative:page;mso-height-relative:page;" filled="f" stroked="t" coordsize="21600,21600" o:gfxdata="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UMWb4tQAAAAIAQAADwAAAAAAAAABACAA&#10;AAAiAAAAZHJzL2Rvd25yZXYueG1sUEsBAhQAFAAAAAgAh07iQAvJMZ3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spacing w:line="440" w:lineRule="exact"/>
        <w:ind w:firstLine="480" w:firstLineChars="200"/>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pPr>
      <w:r>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t>✬重要提示：内审和第三方评估是跟踪监测风险的良好方法</w:t>
      </w:r>
    </w:p>
    <w:p>
      <w:pPr>
        <w:pStyle w:val="10"/>
        <w:spacing w:line="440" w:lineRule="exact"/>
        <w:ind w:firstLine="480" w:firstLineChars="200"/>
        <w:rPr>
          <w:rFonts w:hint="eastAsia" w:ascii="方正仿宋_GB2312" w:hAnsi="方正仿宋_GB2312" w:eastAsia="方正仿宋_GB2312" w:cs="方正仿宋_GB2312"/>
          <w:color w:val="000000"/>
          <w:kern w:val="0"/>
          <w:sz w:val="24"/>
          <w:szCs w:val="24"/>
          <w:lang w:eastAsia="zh-CN"/>
        </w:rPr>
      </w:pPr>
      <w:r>
        <w:rPr>
          <w:rFonts w:hint="eastAsia" w:ascii="方正仿宋_GB2312" w:hAnsi="方正仿宋_GB2312" w:eastAsia="方正仿宋_GB2312" w:cs="方正仿宋_GB2312"/>
          <w:color w:val="000000"/>
          <w:kern w:val="0"/>
          <w:sz w:val="24"/>
          <w:szCs w:val="24"/>
          <w:lang w:eastAsia="zh-CN"/>
        </w:rPr>
        <w:t>勾兑是白酒生产中的重要环节，车间环境直接影响着成品的质量，定期对勾兑车间的环境风险进行内部审核，邀请第三方机构对勾兑车间环境风险管理进行评估，根据内审与第三方评估结果，持续改进勾兑车间的环境风险管理，优化管理流程和方法。</w:t>
      </w:r>
    </w:p>
    <w:p>
      <w:pPr>
        <w:autoSpaceDE w:val="0"/>
        <w:autoSpaceDN w:val="0"/>
        <w:spacing w:line="440" w:lineRule="exact"/>
        <w:ind w:firstLine="482" w:firstLineChars="20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b/>
          <w:bCs/>
          <w:color w:val="000000"/>
          <w:kern w:val="0"/>
          <w:sz w:val="24"/>
        </w:rPr>
        <w:t>发挥工会的作用，以跟踪人力资源管理措施落实效益。</w:t>
      </w:r>
      <w:r>
        <w:rPr>
          <w:rFonts w:hint="eastAsia" w:ascii="方正仿宋_GB2312" w:hAnsi="方正仿宋_GB2312" w:eastAsia="方正仿宋_GB2312" w:cs="方正仿宋_GB2312"/>
          <w:color w:val="000000"/>
          <w:kern w:val="0"/>
          <w:sz w:val="24"/>
        </w:rPr>
        <w:t>工会在跟踪、监督企业有关劳动关系政策和承诺方面可以发挥积极作用，例如工资福利、工作时间等的承诺，工会或者工人代表可通过与员工沟通、举办座谈会等方式了解员工诉求。</w:t>
      </w:r>
    </w:p>
    <w:p>
      <w:pPr>
        <w:autoSpaceDE w:val="0"/>
        <w:autoSpaceDN w:val="0"/>
        <w:spacing w:before="40" w:line="440" w:lineRule="exact"/>
        <w:ind w:firstLine="480" w:firstLineChars="200"/>
        <w:rPr>
          <w:rFonts w:asciiTheme="minorEastAsia" w:hAnsiTheme="minorEastAsia" w:cstheme="minorEastAsia"/>
          <w:color w:val="000000"/>
          <w:kern w:val="0"/>
          <w:sz w:val="24"/>
        </w:rPr>
      </w:pPr>
      <w:r>
        <w:rPr>
          <w:sz w:val="24"/>
        </w:rPr>
        <mc:AlternateContent>
          <mc:Choice Requires="wps">
            <w:drawing>
              <wp:anchor distT="0" distB="0" distL="114300" distR="114300" simplePos="0" relativeHeight="251687936" behindDoc="0" locked="0" layoutInCell="1" allowOverlap="1">
                <wp:simplePos x="0" y="0"/>
                <wp:positionH relativeFrom="column">
                  <wp:posOffset>249555</wp:posOffset>
                </wp:positionH>
                <wp:positionV relativeFrom="paragraph">
                  <wp:posOffset>213995</wp:posOffset>
                </wp:positionV>
                <wp:extent cx="5262245" cy="0"/>
                <wp:effectExtent l="15875" t="15875" r="0" b="22225"/>
                <wp:wrapNone/>
                <wp:docPr id="24" name="直接连接符 24"/>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9.65pt;margin-top:16.85pt;height:0pt;width:414.35pt;z-index:251687936;mso-width-relative:page;mso-height-relative:page;" filled="f" stroked="t" coordsize="21600,21600" o:gfxdata="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V1Ehp9QAAAAIAQAADwAAAAAAAAABACAA&#10;AAAiAAAAZHJzL2Rvd25yZXYueG1sUEsBAhQAFAAAAAgAh07iQMKu3df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autoSpaceDE w:val="0"/>
        <w:autoSpaceDN w:val="0"/>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跟踪风险出现领域的情况变化，特别是在采用终止、减轻措施之后的针对生产过程、生产设备、员工和外部环境的不利影响程度的持续追踪既是监控企业的风险防控措施是否生效的关键方式，也是企业改进风险防控措施的必要手段。企业可以成立由内部审查人员和第三方评估组成的团队对不同风险领域进行追踪，例如在员工职业健康领域可以成立健康监测团队，在包装领域成立包材质量团队。同时，企业应尽可能监测可量化指标，证明自身采取的行动有利于防范和减轻生产过程中发展的不利影响。</w:t>
      </w:r>
    </w:p>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表5-10：不同风险领域白酒企业生产管理的跟踪方法示例</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6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2235" w:type="dxa"/>
          </w:tcPr>
          <w:p>
            <w:pPr>
              <w:autoSpaceDE w:val="0"/>
              <w:autoSpaceDN w:val="0"/>
              <w:spacing w:line="440" w:lineRule="exact"/>
              <w:jc w:val="center"/>
              <w:rPr>
                <w:rFonts w:hint="eastAsia" w:ascii="方正仿宋_GB2312" w:hAnsi="方正仿宋_GB2312" w:eastAsia="方正仿宋_GB2312" w:cs="方正仿宋_GB2312"/>
                <w:spacing w:val="-7"/>
                <w:sz w:val="24"/>
              </w:rPr>
            </w:pPr>
            <w:r>
              <w:rPr>
                <w:rFonts w:hint="eastAsia" w:ascii="方正仿宋_GB2312" w:hAnsi="方正仿宋_GB2312" w:eastAsia="方正仿宋_GB2312" w:cs="方正仿宋_GB2312"/>
                <w:color w:val="000000"/>
                <w:kern w:val="0"/>
                <w:sz w:val="24"/>
              </w:rPr>
              <w:t>风险领域</w:t>
            </w:r>
          </w:p>
        </w:tc>
        <w:tc>
          <w:tcPr>
            <w:tcW w:w="6903" w:type="dxa"/>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跟踪方式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白酒生产制造安全</w:t>
            </w:r>
          </w:p>
        </w:tc>
        <w:tc>
          <w:tcPr>
            <w:tcW w:w="6903"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●定期进行生产现场的巡检，包括设备运行状态、安全设施完好情况、生产环境卫生等方面，通过巡检发现潜在的安全隐患。</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●安装设备监控系统，对白酒生产过程中的关键设备进行实时监测，包括温度、压力、流量等参数。</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●建立完善的安全报告和记录制度，对生产过程中的安全事件、事故、近失事故等进行记录和分析。通过对安全数据的分析，及时发现问题，并采取措施防范类似事件的再次发生。</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●定期对员工进行安全培训和教育，提高员工对安全风险的认识和防范意识。</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●进行全面的安全风险评估和管理，对生产过程中存在的潜在风险进行识别、评估和控制。建立风险管理档案，及时更新风险评估报告，确保风险控制措施的有效性。</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 xml:space="preserve">●引入第三方专业机构或内部安全专家进行监督检查和审核，对生产过程中的安全管理工作进行评估和指导。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白酒生产质量</w:t>
            </w:r>
          </w:p>
        </w:tc>
        <w:tc>
          <w:tcPr>
            <w:tcW w:w="6903"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●对进入生产流程的原材料、半成品和成品进行质量检验，确保产品质量稳定。</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●对生产过程中的关键环节进行控制和监测，确保生产参数和工艺流程的稳定性和一致性。</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●确定关键质量控制指标，并定期对这些指标进行监测和评估。</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●对生产出的白酒产品进行抽样检验，检测产品的各项指标是否符合标准和要求。</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●建立产品追溯系统，对产品生产过程中的每个环节进行记录和追踪。一旦发现质量问题，可以追溯到具体的生产批次和环节，及时采取措施进行处理。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制曲、制酒</w:t>
            </w:r>
          </w:p>
        </w:tc>
        <w:tc>
          <w:tcPr>
            <w:tcW w:w="6903"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●在生产过程中，对环境因素进行实时监测，尤其是粉尘进行检测。确保各项指标符合国家和地方的相关环保法规及标准，降低环境风险。</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●制定详细的操作规范与流程，明确各项操作步骤和注意事项，通过规范操作，降低因人为因素导致的操作风险。</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●对各个设备进行定期检查和维护，确保设备正常运行，降低因设备故障导致的操作风险。</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●对车间的操作人员进行定期培训和教育，提高操作技能。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勾贮</w:t>
            </w:r>
          </w:p>
        </w:tc>
        <w:tc>
          <w:tcPr>
            <w:tcW w:w="6903"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●制定相应的控制计划，包括原材料称量的复核、投料量的监督、勾兑比例的校准、酒精度测量设备的定期检查与校准等。</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●对各个操作环节进行实时监控，确保各指标达标。在出现误差时，记录并分析，了解导致问题产生的原因与规律，多次对比，找出其中的问题，及时调整控制计划，降低误差对产品的影响。</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●定期对储酒容器进行检查和维护，如容器的密封性、材质完好性、底部支撑牢固等方面，确保容器正常使用</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●在使用容器过程中要保持清洁卫生，防止污染和杂菌滋生。定期消毒清洁，保持容器内外清洁卫生。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白酒包装</w:t>
            </w:r>
          </w:p>
        </w:tc>
        <w:tc>
          <w:tcPr>
            <w:tcW w:w="6903"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●加强生产过程中的质量监控，尤其是在瓶身清洗、灌装、压盖等关键环节，严格把关，确保产品的密封性和质量。</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●采用先进的灌装技术，如定量灌装等，减少人为操作失误和瓶身瑕疵风险，定期对设备进行维护和检查，确保设备正常运行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2235"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水资源</w:t>
            </w:r>
          </w:p>
        </w:tc>
        <w:tc>
          <w:tcPr>
            <w:tcW w:w="6903"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●进行水资源监控，建立水资源监测系统，记录水资源的采用和排放情况。</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●水资源使用效率报告，定期发布水资源使用效率报告，展示水资源的合理利用。</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●当地水质保护，参与当地水质保护项目，确保生产过程不对当地水源造成负面影响。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2235"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其他资源</w:t>
            </w:r>
          </w:p>
        </w:tc>
        <w:tc>
          <w:tcPr>
            <w:tcW w:w="6903"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●监测天然气和其他能源的消耗情况，分析能源利用效率，并提出节能减排建议；安装天然气泄漏检测器，监测天然气压力和流量，定期检查天然气设备。</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●对窖泥资源的利用情况和处理系统进行定期检查和监测，包括窖泥的处理方式、处理效果和资源综合利用率，确保处理设施的正常运行和废物处理的合规性。</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●定期进行内部合规审核，评估企业在天然气使用和废物处理方面的合规性，确保企业的天然气使用和废物处理符合法律法规和环保标准。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2235"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废物处理</w:t>
            </w:r>
          </w:p>
        </w:tc>
        <w:tc>
          <w:tcPr>
            <w:tcW w:w="6903"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●可以建立废弃物监测系统，设立监测系统，跟踪废弃物的类型、数量和处理方式。</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●定期报告废弃物减量情况，每季度或每年报告废弃物减量的具体数字和改善效果。</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●评估环境影响，定期评估改进措施对周边环境的影响，确保没有新的负面效应。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235" w:type="dxa"/>
            <w:vAlign w:val="center"/>
          </w:tcPr>
          <w:p>
            <w:pPr>
              <w:autoSpaceDE w:val="0"/>
              <w:autoSpaceDN w:val="0"/>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lang w:eastAsia="en-US"/>
              </w:rPr>
              <w:t>职业健康与安全</w:t>
            </w:r>
          </w:p>
        </w:tc>
        <w:tc>
          <w:tcPr>
            <w:tcW w:w="6903"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于造成严重损害的风险：有资质的独立专业人员（如结构工程师、消防专家、健康和环境专家）监测并评价纠正行动计划的实施情况。员工应参与对损害风险的持续监测（如果可行）。特定情况下，员工或其他利益相关方通过申诉机制提出指控，供应商与企业应保有资质的专业人员及时检查申诉。</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●员工应接受培训，酌情参与开展持续监测。鼓励企业实施现有关于如何制定职业健康与安全监测的技术指南。</w:t>
            </w:r>
          </w:p>
        </w:tc>
      </w:tr>
    </w:tbl>
    <w:p>
      <w:pPr>
        <w:autoSpaceDE w:val="0"/>
        <w:autoSpaceDN w:val="0"/>
        <w:spacing w:line="440" w:lineRule="exact"/>
        <w:ind w:firstLine="460" w:firstLineChars="200"/>
        <w:rPr>
          <w:rFonts w:asciiTheme="minorEastAsia" w:hAnsiTheme="minorEastAsia" w:cstheme="minorEastAsia"/>
          <w:color w:val="000000"/>
          <w:kern w:val="0"/>
          <w:sz w:val="24"/>
        </w:rPr>
      </w:pPr>
      <w:bookmarkStart w:id="93" w:name="_Toc7862"/>
      <w:bookmarkStart w:id="94" w:name="_Toc32596"/>
      <w:r>
        <w:rPr>
          <w:rFonts w:hint="eastAsia" w:asciiTheme="minorEastAsia" w:hAnsiTheme="minorEastAsia" w:cstheme="minorEastAsia"/>
          <w:color w:val="FF0000"/>
          <w:spacing w:val="-5"/>
          <w:sz w:val="24"/>
          <w14:textOutline w14:w="4356" w14:cap="sq" w14:cmpd="sng" w14:algn="ctr">
            <w14:solidFill>
              <w14:srgbClr w14:val="000000"/>
            </w14:solidFill>
            <w14:prstDash w14:val="solid"/>
            <w14:bevel/>
          </w14:textOutline>
        </w:rPr>
        <w:t>实用行动</w:t>
      </w:r>
      <w:r>
        <w:rPr>
          <w:rFonts w:hint="eastAsia" w:asciiTheme="minorEastAsia" w:hAnsiTheme="minorEastAsia" w:cstheme="minorEastAsia"/>
          <w:color w:val="000000"/>
          <w:kern w:val="0"/>
          <w:sz w:val="24"/>
        </w:rPr>
        <w:t xml:space="preserve">  </w:t>
      </w:r>
    </w:p>
    <w:p>
      <w:pPr>
        <w:autoSpaceDE w:val="0"/>
        <w:autoSpaceDN w:val="0"/>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●监测与跟踪企业自身对尽责管理的内部承诺、活动与目标的实施情况与有效性，比如通过在企业内部对所取得的成果定期开展内部或第三方检查或审核，并在企业内部相关层面沟通结果。</w:t>
      </w:r>
    </w:p>
    <w:p>
      <w:pPr>
        <w:autoSpaceDE w:val="0"/>
        <w:autoSpaceDN w:val="0"/>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xml:space="preserve">●定期对业务关系开展评估，以核实正在实施的减轻风险的措施，或证实已实际防范或减轻的风险。 </w:t>
      </w:r>
    </w:p>
    <w:p>
      <w:pPr>
        <w:autoSpaceDE w:val="0"/>
        <w:autoSpaceDN w:val="0"/>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●对于企业产生或可能造成的影响，征询工人、工人代表和工会等受影响或潜在受影响权利人的意见，并与之开展合作。</w:t>
      </w:r>
    </w:p>
    <w:p>
      <w:pPr>
        <w:autoSpaceDE w:val="0"/>
        <w:autoSpaceDN w:val="0"/>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●遵守《中华人民共和国环境保护法》及其有关法律。定期邀请环保局参观，到访。</w:t>
      </w:r>
    </w:p>
    <w:p>
      <w:pPr>
        <w:autoSpaceDE w:val="0"/>
        <w:autoSpaceDN w:val="0"/>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●遵守《中华人民共和国劳动法》及其有关法律。对员工进行宣传培训，邀请专业人士对员工进行普及。</w:t>
      </w:r>
    </w:p>
    <w:p>
      <w:pPr>
        <w:autoSpaceDE w:val="0"/>
        <w:autoSpaceDN w:val="0"/>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 xml:space="preserve">●积极参与社区的公益活动。 </w:t>
      </w:r>
    </w:p>
    <w:p>
      <w:pPr>
        <w:autoSpaceDE w:val="0"/>
        <w:autoSpaceDN w:val="0"/>
        <w:spacing w:line="440" w:lineRule="exact"/>
        <w:ind w:firstLine="480" w:firstLineChars="200"/>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●将汲取的经验反馈纳入企业的尽责管理，从而在未来改进过程与成果。企业在跟踪白酒生产方面绩效时，可参考表5-</w:t>
      </w:r>
      <w:r>
        <w:rPr>
          <w:rFonts w:asciiTheme="minorEastAsia" w:hAnsiTheme="minorEastAsia" w:cstheme="minorEastAsia"/>
          <w:color w:val="000000"/>
          <w:kern w:val="0"/>
          <w:sz w:val="24"/>
        </w:rPr>
        <w:t>10</w:t>
      </w:r>
      <w:r>
        <w:rPr>
          <w:rFonts w:hint="eastAsia" w:asciiTheme="minorEastAsia" w:hAnsiTheme="minorEastAsia" w:cstheme="minorEastAsia"/>
          <w:color w:val="000000"/>
          <w:kern w:val="0"/>
          <w:sz w:val="24"/>
        </w:rPr>
        <w:t>。</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95" w:name="_Toc3519"/>
      <w:r>
        <w:rPr>
          <w:rFonts w:hint="eastAsia" w:ascii="方正公文黑体" w:hAnsi="方正公文黑体" w:eastAsia="方正公文黑体" w:cs="方正公文黑体"/>
          <w:sz w:val="28"/>
          <w:szCs w:val="28"/>
          <w:lang w:val="en-US" w:eastAsia="zh-CN"/>
        </w:rPr>
        <w:t>5.2.5沟通如何消除影响</w:t>
      </w:r>
      <w:bookmarkEnd w:id="93"/>
      <w:bookmarkEnd w:id="94"/>
      <w:bookmarkEnd w:id="95"/>
    </w:p>
    <w:p>
      <w:pPr>
        <w:pStyle w:val="10"/>
        <w:spacing w:line="440" w:lineRule="exact"/>
        <w:ind w:firstLine="480" w:firstLineChars="200"/>
        <w:rPr>
          <w:rFonts w:asciiTheme="minorEastAsia" w:hAnsiTheme="minorEastAsia" w:eastAsiaTheme="minorEastAsia" w:cstheme="minorEastAsia"/>
          <w:color w:val="000000"/>
          <w:kern w:val="0"/>
          <w:sz w:val="24"/>
          <w:szCs w:val="24"/>
          <w:lang w:eastAsia="zh-CN"/>
        </w:rPr>
      </w:pPr>
      <w:r>
        <w:rPr>
          <w:rFonts w:asciiTheme="minorEastAsia" w:hAnsiTheme="minorEastAsia" w:eastAsiaTheme="minorEastAsia" w:cstheme="minorEastAsia"/>
          <w:color w:val="000000"/>
          <w:kern w:val="0"/>
          <w:sz w:val="24"/>
          <w:szCs w:val="24"/>
          <w:lang w:eastAsia="zh-CN"/>
        </w:rPr>
        <w:t>风险是企业的一部分，但重要的是，</w:t>
      </w:r>
      <w:r>
        <w:rPr>
          <w:rFonts w:hint="eastAsia" w:asciiTheme="minorEastAsia" w:hAnsiTheme="minorEastAsia" w:eastAsiaTheme="minorEastAsia" w:cstheme="minorEastAsia"/>
          <w:color w:val="000000"/>
          <w:kern w:val="0"/>
          <w:sz w:val="24"/>
          <w:szCs w:val="24"/>
          <w:lang w:eastAsia="zh-CN"/>
        </w:rPr>
        <w:t>一家企业应</w:t>
      </w:r>
      <w:r>
        <w:rPr>
          <w:rFonts w:asciiTheme="minorEastAsia" w:hAnsiTheme="minorEastAsia" w:eastAsiaTheme="minorEastAsia" w:cstheme="minorEastAsia"/>
          <w:color w:val="000000"/>
          <w:kern w:val="0"/>
          <w:sz w:val="24"/>
          <w:szCs w:val="24"/>
          <w:lang w:eastAsia="zh-CN"/>
        </w:rPr>
        <w:t>知道如何处理负面风险的影响</w:t>
      </w:r>
      <w:r>
        <w:rPr>
          <w:rFonts w:hint="eastAsia" w:asciiTheme="minorEastAsia" w:hAnsiTheme="minorEastAsia" w:eastAsiaTheme="minorEastAsia" w:cstheme="minorEastAsia"/>
          <w:color w:val="000000"/>
          <w:kern w:val="0"/>
          <w:sz w:val="24"/>
          <w:szCs w:val="24"/>
          <w:lang w:eastAsia="zh-CN"/>
        </w:rPr>
        <w:t>，企业应当以便捷可及的方式（如企业官网）向企业内部及社会公众公开与员工权利相关的尽责管理流程。在不涉及员工隐私、经过员工个人同意的前提下，可以将员工权利尽责管理的案例作为实践范例在企业内部公开。</w:t>
      </w:r>
    </w:p>
    <w:p>
      <w:pPr>
        <w:pStyle w:val="10"/>
        <w:spacing w:line="440" w:lineRule="exact"/>
        <w:ind w:firstLine="480" w:firstLineChars="200"/>
        <w:rPr>
          <w:rFonts w:asciiTheme="minorEastAsia" w:hAnsiTheme="minorEastAsia" w:eastAsiaTheme="minorEastAsia" w:cstheme="minorEastAsia"/>
          <w:color w:val="000000"/>
          <w:kern w:val="0"/>
          <w:sz w:val="24"/>
          <w:szCs w:val="24"/>
          <w:lang w:eastAsia="zh-CN"/>
        </w:rPr>
      </w:pPr>
      <w:r>
        <w:rPr>
          <w:sz w:val="24"/>
          <w:lang w:eastAsia="zh-CN"/>
        </w:rPr>
        <mc:AlternateContent>
          <mc:Choice Requires="wps">
            <w:drawing>
              <wp:anchor distT="0" distB="0" distL="114300" distR="114300" simplePos="0" relativeHeight="251688960" behindDoc="0" locked="0" layoutInCell="1" allowOverlap="1">
                <wp:simplePos x="0" y="0"/>
                <wp:positionH relativeFrom="column">
                  <wp:posOffset>224155</wp:posOffset>
                </wp:positionH>
                <wp:positionV relativeFrom="paragraph">
                  <wp:posOffset>187960</wp:posOffset>
                </wp:positionV>
                <wp:extent cx="5262245" cy="0"/>
                <wp:effectExtent l="15875" t="15875" r="0" b="22225"/>
                <wp:wrapNone/>
                <wp:docPr id="25" name="直接连接符 25"/>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65pt;margin-top:14.8pt;height:0pt;width:414.35pt;z-index:251688960;mso-width-relative:page;mso-height-relative:page;" filled="f" stroked="t" coordsize="21600,21600" o:gfxdata="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RuJZS1AAAAAgBAAAPAAAAAAAAAAEAIAAA&#10;ACIAAABkcnMvZG93bnJldi54bWxQSwECFAAUAAAACACHTuJArLoUANcBAACRAwAADgAAAAAAAAAB&#10;ACAAAAAjAQAAZHJzL2Uyb0RvYy54bWxQSwUGAAAAAAYABgBZAQAAbAUAAAAA&#10;">
                <v:fill on="f" focussize="0,0"/>
                <v:stroke weight="2.5pt" color="#4874CB [3204]" joinstyle="round" dashstyle="1 1" endcap="round"/>
                <v:imagedata o:title=""/>
                <o:lock v:ext="edit" aspectratio="f"/>
              </v:line>
            </w:pict>
          </mc:Fallback>
        </mc:AlternateContent>
      </w:r>
    </w:p>
    <w:p>
      <w:pPr>
        <w:spacing w:before="40" w:line="440" w:lineRule="exact"/>
        <w:ind w:firstLine="480" w:firstLineChars="200"/>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pPr>
      <w:r>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t>✬重要提示：沟通渠道可着眼于员工、企业、社会等不同层面</w:t>
      </w:r>
    </w:p>
    <w:p>
      <w:pPr>
        <w:spacing w:before="40" w:line="440" w:lineRule="exact"/>
        <w:ind w:firstLine="482" w:firstLineChars="200"/>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pPr>
      <w:r>
        <w:rPr>
          <w:rFonts w:hint="eastAsia" w:ascii="方正仿宋_GB2312" w:hAnsi="方正仿宋_GB2312" w:eastAsia="方正仿宋_GB2312" w:cs="方正仿宋_GB2312"/>
          <w:b/>
          <w:color w:val="000000"/>
          <w:kern w:val="0"/>
          <w:sz w:val="24"/>
        </w:rPr>
        <w:t>员工代表大会、告示栏、员工规范等均是沟通的渠道。</w:t>
      </w:r>
      <w:r>
        <w:rPr>
          <w:rFonts w:hint="eastAsia" w:ascii="方正仿宋_GB2312" w:hAnsi="方正仿宋_GB2312" w:eastAsia="方正仿宋_GB2312" w:cs="方正仿宋_GB2312"/>
          <w:color w:val="000000"/>
          <w:kern w:val="0"/>
          <w:sz w:val="24"/>
        </w:rPr>
        <w:t>在白酒生产中，沟通是消除不良影响的关键环节。员工之间的沟通可以避免生产过程中的问题，如工作的重复、任务的遗漏或工作进度的延误，从而提高生产效率和质量。</w:t>
      </w:r>
    </w:p>
    <w:p>
      <w:pPr>
        <w:pStyle w:val="10"/>
        <w:spacing w:line="440" w:lineRule="exact"/>
        <w:ind w:firstLine="480" w:firstLineChars="200"/>
        <w:rPr>
          <w:rFonts w:hint="eastAsia" w:ascii="方正仿宋_GB2312" w:hAnsi="方正仿宋_GB2312" w:eastAsia="方正仿宋_GB2312" w:cs="方正仿宋_GB2312"/>
          <w:color w:val="000000"/>
          <w:kern w:val="0"/>
          <w:sz w:val="24"/>
          <w:szCs w:val="24"/>
          <w:lang w:eastAsia="zh-CN"/>
        </w:rPr>
      </w:pPr>
      <w:r>
        <w:rPr>
          <w:rFonts w:hint="eastAsia" w:ascii="方正仿宋_GB2312" w:hAnsi="方正仿宋_GB2312" w:eastAsia="方正仿宋_GB2312" w:cs="方正仿宋_GB2312"/>
          <w:color w:val="000000"/>
          <w:kern w:val="0"/>
          <w:sz w:val="24"/>
          <w:szCs w:val="24"/>
          <w:lang w:eastAsia="zh-CN"/>
        </w:rPr>
        <w:t>员工与管理者之间的沟通可以建立相互信任的关系，进一步提高工作效率和质量。此外，沟通在解决白酒生产中的其他问题时也发挥着重要作用，如当生产过程中出现质量问题时，员工可以及时与管理层沟通，反馈问题并寻求解决方案。</w:t>
      </w:r>
    </w:p>
    <w:p>
      <w:pPr>
        <w:pStyle w:val="10"/>
        <w:spacing w:line="440" w:lineRule="exact"/>
        <w:ind w:firstLine="480" w:firstLineChars="200"/>
        <w:rPr>
          <w:rFonts w:hint="eastAsia" w:ascii="方正仿宋_GB2312" w:hAnsi="方正仿宋_GB2312" w:eastAsia="方正仿宋_GB2312" w:cs="方正仿宋_GB2312"/>
          <w:color w:val="000000"/>
          <w:kern w:val="0"/>
          <w:sz w:val="24"/>
          <w:szCs w:val="24"/>
          <w:lang w:eastAsia="zh-CN"/>
        </w:rPr>
      </w:pPr>
      <w:r>
        <w:rPr>
          <w:rFonts w:hint="eastAsia" w:ascii="方正仿宋_GB2312" w:hAnsi="方正仿宋_GB2312" w:eastAsia="方正仿宋_GB2312" w:cs="方正仿宋_GB2312"/>
          <w:color w:val="000000"/>
          <w:kern w:val="0"/>
          <w:sz w:val="24"/>
          <w:szCs w:val="24"/>
          <w:lang w:eastAsia="zh-CN"/>
        </w:rPr>
        <w:t>员工之间和管理者之间的有效沟通，可以提高生产效率和质量，减少问题的出现并控制其扩大化。</w:t>
      </w:r>
    </w:p>
    <w:p>
      <w:pPr>
        <w:spacing w:before="40" w:line="440" w:lineRule="exact"/>
        <w:ind w:firstLine="482" w:firstLineChars="20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b/>
          <w:color w:val="000000"/>
          <w:kern w:val="0"/>
          <w:sz w:val="24"/>
        </w:rPr>
        <w:t>调研、企业社会责任、企业的年报等均是沟通的渠道。</w:t>
      </w:r>
      <w:r>
        <w:rPr>
          <w:rFonts w:hint="eastAsia" w:ascii="方正仿宋_GB2312" w:hAnsi="方正仿宋_GB2312" w:eastAsia="方正仿宋_GB2312" w:cs="方正仿宋_GB2312"/>
          <w:color w:val="000000"/>
          <w:kern w:val="0"/>
          <w:sz w:val="24"/>
        </w:rPr>
        <w:t>编制并发布企业社会责任报告，公开企业的社会责任履行情况，如社会责任实践和成果，有助于增强公众对企业的信任与认可，向社会各界展示企业的社会价值和贡献。</w:t>
      </w:r>
    </w:p>
    <w:p>
      <w:pPr>
        <w:spacing w:before="40" w:line="440" w:lineRule="exact"/>
        <w:ind w:firstLine="480" w:firstLineChars="200"/>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pPr>
      <w:r>
        <w:rPr>
          <w:rFonts w:hint="eastAsia" w:ascii="方正仿宋_GB2312" w:hAnsi="方正仿宋_GB2312" w:eastAsia="方正仿宋_GB2312" w:cs="方正仿宋_GB2312"/>
          <w:color w:val="000000"/>
          <w:kern w:val="0"/>
          <w:sz w:val="24"/>
        </w:rPr>
        <w:t>企业向公众披露财务状况，经营成果、战略规划等方面文件，详细介绍其业务模式、市场地位、竞争优势等，投资者和利益相关方可以更了解企业的运营情况和未来发展方向，促进双方的合作与共赢。</w:t>
      </w:r>
    </w:p>
    <w:p>
      <w:pPr>
        <w:spacing w:line="440" w:lineRule="exact"/>
        <w:ind w:firstLine="482" w:firstLineChars="20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b/>
          <w:color w:val="000000"/>
          <w:kern w:val="0"/>
          <w:sz w:val="24"/>
        </w:rPr>
        <w:t>接受政府、社会监管，加强与媒体的交流等均是沟通的渠道。</w:t>
      </w:r>
      <w:r>
        <w:rPr>
          <w:rFonts w:hint="eastAsia" w:ascii="方正仿宋_GB2312" w:hAnsi="方正仿宋_GB2312" w:eastAsia="方正仿宋_GB2312" w:cs="方正仿宋_GB2312"/>
          <w:color w:val="000000"/>
          <w:kern w:val="0"/>
          <w:sz w:val="24"/>
        </w:rPr>
        <w:t>企业定期向政府监管部门汇报工作，建立定期沟通的机制，了解并遵守政策法规，接受监督部门的检查和指导，主动反馈企业的经营情况和需求，同时也可向有关部门寻求帮助，确保生产过程的合法合规。</w:t>
      </w:r>
    </w:p>
    <w:p>
      <w:pPr>
        <w:spacing w:line="440" w:lineRule="exact"/>
        <w:ind w:firstLine="480" w:firstLineChars="200"/>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参与相关行业组织，积极参与行业标准和规范的制定过程，确保企业生产活动符合行业最佳实践和标准要求；积极履行企业社会责任，参与慈善公益活动，支持社会发展和公益事业，同时加强对外沟通，接受社会监督，提高企业的透明度和公信力。</w:t>
      </w:r>
    </w:p>
    <w:p>
      <w:pPr>
        <w:spacing w:line="440" w:lineRule="exact"/>
        <w:ind w:firstLine="480" w:firstLineChars="200"/>
        <w:rPr>
          <w:rFonts w:hint="eastAsia" w:ascii="方正仿宋_GB2312" w:hAnsi="方正仿宋_GB2312" w:eastAsia="方正仿宋_GB2312" w:cs="方正仿宋_GB2312"/>
          <w:b/>
          <w:bCs/>
          <w:color w:val="000000"/>
          <w:kern w:val="0"/>
          <w:sz w:val="24"/>
        </w:rPr>
      </w:pPr>
      <w:r>
        <w:rPr>
          <w:rFonts w:hint="eastAsia" w:ascii="方正仿宋_GB2312" w:hAnsi="方正仿宋_GB2312" w:eastAsia="方正仿宋_GB2312" w:cs="方正仿宋_GB2312"/>
          <w:color w:val="000000"/>
          <w:kern w:val="0"/>
          <w:sz w:val="24"/>
        </w:rPr>
        <w:t>通过媒体等渠道主动公开企业生产活动和产品信息，宣传品牌，了解社会需求和反馈，改进产品和服务。展示企业形象，提高知名度和美誉度，了解公众对企业和产品的看法和反馈。</w:t>
      </w:r>
    </w:p>
    <w:p>
      <w:pPr>
        <w:pStyle w:val="10"/>
        <w:spacing w:line="440" w:lineRule="exact"/>
        <w:ind w:firstLine="480" w:firstLineChars="200"/>
        <w:rPr>
          <w:rFonts w:asciiTheme="minorEastAsia" w:hAnsiTheme="minorEastAsia" w:eastAsiaTheme="minorEastAsia" w:cstheme="minorEastAsia"/>
          <w:color w:val="FF0000"/>
          <w:kern w:val="0"/>
          <w:sz w:val="24"/>
          <w:szCs w:val="24"/>
          <w:lang w:eastAsia="zh-CN"/>
        </w:rPr>
      </w:pPr>
      <w:r>
        <w:rPr>
          <w:sz w:val="24"/>
          <w:lang w:eastAsia="zh-CN"/>
        </w:rPr>
        <mc:AlternateContent>
          <mc:Choice Requires="wps">
            <w:drawing>
              <wp:anchor distT="0" distB="0" distL="114300" distR="114300" simplePos="0" relativeHeight="251689984" behindDoc="0" locked="0" layoutInCell="1" allowOverlap="1">
                <wp:simplePos x="0" y="0"/>
                <wp:positionH relativeFrom="column">
                  <wp:posOffset>224155</wp:posOffset>
                </wp:positionH>
                <wp:positionV relativeFrom="paragraph">
                  <wp:posOffset>177800</wp:posOffset>
                </wp:positionV>
                <wp:extent cx="5262245" cy="0"/>
                <wp:effectExtent l="15875" t="15875" r="0" b="22225"/>
                <wp:wrapNone/>
                <wp:docPr id="26" name="直接连接符 26"/>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65pt;margin-top:14pt;height:0pt;width:414.35pt;z-index:251689984;mso-width-relative:page;mso-height-relative:page;" filled="f" stroked="t" coordsize="21600,21600" o:gfxdata="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p2gd49QAAAAIAQAADwAAAAAAAAABACAA&#10;AAAiAAAAZHJzL2Rvd25yZXYueG1sUEsBAhQAFAAAAAgAh07iQF+APqP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pStyle w:val="10"/>
        <w:spacing w:line="440" w:lineRule="exact"/>
        <w:ind w:firstLine="480" w:firstLineChars="200"/>
        <w:rPr>
          <w:rFonts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企业应公开报告尽责管理过程的相关信息，并适当考虑商业秘密与其他竞争，如通过企业的年报、可持续发展报告、企业责任报告或其他合适的信息披露形式，并以获取便捷且合适的方式发布上述信息，如在企业公众号、企业网站、企业的经营场所中。</w:t>
      </w:r>
    </w:p>
    <w:p>
      <w:pPr>
        <w:pStyle w:val="10"/>
        <w:spacing w:before="156" w:beforeLines="50" w:line="440" w:lineRule="exact"/>
        <w:ind w:firstLine="460" w:firstLineChars="200"/>
        <w:rPr>
          <w:rFonts w:asciiTheme="minorEastAsia" w:hAnsiTheme="minorEastAsia" w:eastAsiaTheme="minorEastAsia" w:cstheme="minorEastAsia"/>
          <w:color w:val="FF0000"/>
          <w:spacing w:val="-5"/>
          <w:sz w:val="24"/>
          <w:szCs w:val="24"/>
          <w:lang w:eastAsia="zh-CN"/>
          <w14:textOutline w14:w="4356" w14:cap="sq" w14:cmpd="sng" w14:algn="ctr">
            <w14:solidFill>
              <w14:srgbClr w14:val="000000"/>
            </w14:solidFill>
            <w14:prstDash w14:val="solid"/>
            <w14:bevel/>
          </w14:textOutline>
        </w:rPr>
      </w:pPr>
      <w:r>
        <w:rPr>
          <w:rFonts w:hint="eastAsia" w:asciiTheme="minorEastAsia" w:hAnsiTheme="minorEastAsia" w:eastAsiaTheme="minorEastAsia" w:cstheme="minorEastAsia"/>
          <w:color w:val="FF0000"/>
          <w:spacing w:val="-5"/>
          <w:sz w:val="24"/>
          <w:szCs w:val="24"/>
          <w:lang w:eastAsia="zh-CN"/>
          <w14:textOutline w14:w="4356" w14:cap="sq" w14:cmpd="sng" w14:algn="ctr">
            <w14:solidFill>
              <w14:srgbClr w14:val="000000"/>
            </w14:solidFill>
            <w14:prstDash w14:val="solid"/>
            <w14:bevel/>
          </w14:textOutline>
        </w:rPr>
        <w:t>实用行动</w:t>
      </w:r>
    </w:p>
    <w:p>
      <w:pPr>
        <w:pStyle w:val="10"/>
        <w:spacing w:line="440" w:lineRule="exact"/>
        <w:ind w:firstLine="480" w:firstLineChars="200"/>
        <w:rPr>
          <w:rFonts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●建立有效的沟通机制。在白酒生产过程中，建立有效的沟通机制，确保信息的畅通和准确传递。例如，定期召开生产例会、质量分析会等会议，及时反馈生产过程中的问题，讨论解决方案并采取相应措施。</w:t>
      </w:r>
    </w:p>
    <w:p>
      <w:pPr>
        <w:pStyle w:val="10"/>
        <w:spacing w:line="440" w:lineRule="exact"/>
        <w:ind w:firstLine="480" w:firstLineChars="200"/>
        <w:rPr>
          <w:rFonts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●加强跨部门沟通与合作。在白酒生产过程中，各个部门之间的沟通和合作至关重要。要加强跨部门沟通与合作，定期召开跨部门协调会议，分享信息、资源和技术支持，共同解决问题。</w:t>
      </w:r>
    </w:p>
    <w:p>
      <w:pPr>
        <w:pStyle w:val="10"/>
        <w:spacing w:line="440" w:lineRule="exact"/>
        <w:ind w:firstLine="480" w:firstLineChars="200"/>
        <w:rPr>
          <w:rFonts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●建立良好的沟通渠道。除了正式的沟通机制外，还要建立良好的沟通渠道，鼓励员工之间的交流和合作。例如，设立意见箱、建议平台等渠道，让员工能够自由地表达自己的想法和建议。</w:t>
      </w:r>
    </w:p>
    <w:p>
      <w:pPr>
        <w:pStyle w:val="10"/>
        <w:spacing w:line="440" w:lineRule="exact"/>
        <w:ind w:firstLine="480" w:firstLineChars="200"/>
        <w:rPr>
          <w:rFonts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●建立信息共享平台。利用现代信息技术，建立信息共享平台，方便员工随时获取生产数据、质量信息和其他相关信息。通过信息共享，可以减少信息不对称和误解，提高沟通效率。</w:t>
      </w:r>
    </w:p>
    <w:p>
      <w:pPr>
        <w:pStyle w:val="10"/>
        <w:spacing w:line="440" w:lineRule="exact"/>
        <w:ind w:firstLine="480" w:firstLineChars="200"/>
        <w:rPr>
          <w:rFonts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●鼓励反馈和建议。鼓励员工对生产过程、产品质量和其他问题提出反馈和建议。对于合理的建议给予积极回应并采纳，让员工感受到自己的意见受到重视和尊重。</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96" w:name="_Toc28489"/>
      <w:bookmarkStart w:id="97" w:name="_Toc3179"/>
      <w:bookmarkStart w:id="98" w:name="_Toc18107"/>
      <w:r>
        <w:rPr>
          <w:rFonts w:hint="eastAsia" w:ascii="方正公文黑体" w:hAnsi="方正公文黑体" w:eastAsia="方正公文黑体" w:cs="方正公文黑体"/>
          <w:sz w:val="28"/>
          <w:szCs w:val="28"/>
          <w:lang w:val="en-US" w:eastAsia="zh-CN"/>
        </w:rPr>
        <w:t>5.2.6适时提供条件或开展合作进行补救</w:t>
      </w:r>
      <w:bookmarkEnd w:id="96"/>
      <w:bookmarkEnd w:id="97"/>
      <w:bookmarkEnd w:id="98"/>
    </w:p>
    <w:p>
      <w:pPr>
        <w:pStyle w:val="10"/>
        <w:spacing w:line="440" w:lineRule="exact"/>
        <w:ind w:firstLine="480" w:firstLineChars="200"/>
        <w:rPr>
          <w:rFonts w:asciiTheme="minorEastAsia" w:hAnsiTheme="minorEastAsia" w:eastAsiaTheme="minorEastAsia" w:cstheme="minorEastAsia"/>
          <w:color w:val="000000"/>
          <w:kern w:val="0"/>
          <w:sz w:val="24"/>
          <w:szCs w:val="24"/>
          <w:lang w:eastAsia="zh-CN"/>
        </w:rPr>
      </w:pPr>
      <w:r>
        <w:rPr>
          <w:rFonts w:hint="eastAsia" w:asciiTheme="minorEastAsia" w:hAnsiTheme="minorEastAsia" w:eastAsiaTheme="minorEastAsia" w:cstheme="minorEastAsia"/>
          <w:color w:val="000000"/>
          <w:kern w:val="0"/>
          <w:sz w:val="24"/>
          <w:szCs w:val="24"/>
          <w:lang w:eastAsia="zh-CN"/>
        </w:rPr>
        <w:t>白酒生产过程一旦产生不可避免的风险问题，</w:t>
      </w:r>
      <w:r>
        <w:rPr>
          <w:rFonts w:asciiTheme="minorEastAsia" w:hAnsiTheme="minorEastAsia" w:eastAsiaTheme="minorEastAsia" w:cstheme="minorEastAsia"/>
          <w:color w:val="000000"/>
          <w:kern w:val="0"/>
          <w:sz w:val="24"/>
          <w:szCs w:val="24"/>
          <w:lang w:eastAsia="zh-CN"/>
        </w:rPr>
        <w:t>一个令人满意的补救措施可以</w:t>
      </w:r>
      <w:r>
        <w:rPr>
          <w:rFonts w:hint="eastAsia" w:asciiTheme="minorEastAsia" w:hAnsiTheme="minorEastAsia" w:eastAsiaTheme="minorEastAsia" w:cstheme="minorEastAsia"/>
          <w:color w:val="000000"/>
          <w:kern w:val="0"/>
          <w:sz w:val="24"/>
          <w:szCs w:val="24"/>
          <w:lang w:eastAsia="zh-CN"/>
        </w:rPr>
        <w:t>将劣势转化为优势。在尽责全面质量管理中</w:t>
      </w:r>
      <w:r>
        <w:rPr>
          <w:rFonts w:asciiTheme="minorEastAsia" w:hAnsiTheme="minorEastAsia" w:eastAsiaTheme="minorEastAsia" w:cstheme="minorEastAsia"/>
          <w:color w:val="000000"/>
          <w:kern w:val="0"/>
          <w:sz w:val="24"/>
          <w:szCs w:val="24"/>
          <w:lang w:eastAsia="zh-CN"/>
        </w:rPr>
        <w:t>提高补救水平,</w:t>
      </w:r>
      <w:r>
        <w:rPr>
          <w:rFonts w:hint="eastAsia" w:asciiTheme="minorEastAsia" w:hAnsiTheme="minorEastAsia" w:eastAsiaTheme="minorEastAsia" w:cstheme="minorEastAsia"/>
          <w:color w:val="000000"/>
          <w:kern w:val="0"/>
          <w:sz w:val="24"/>
          <w:szCs w:val="24"/>
          <w:lang w:eastAsia="zh-CN"/>
        </w:rPr>
        <w:t>强调反应速度，采取强有力的补救措施</w:t>
      </w:r>
      <w:r>
        <w:rPr>
          <w:rFonts w:asciiTheme="minorEastAsia" w:hAnsiTheme="minorEastAsia" w:eastAsiaTheme="minorEastAsia" w:cstheme="minorEastAsia"/>
          <w:color w:val="000000"/>
          <w:kern w:val="0"/>
          <w:sz w:val="24"/>
          <w:szCs w:val="24"/>
          <w:lang w:eastAsia="zh-CN"/>
        </w:rPr>
        <w:t>是保持</w:t>
      </w:r>
      <w:r>
        <w:rPr>
          <w:rFonts w:hint="eastAsia" w:asciiTheme="minorEastAsia" w:hAnsiTheme="minorEastAsia" w:eastAsiaTheme="minorEastAsia" w:cstheme="minorEastAsia"/>
          <w:color w:val="000000"/>
          <w:kern w:val="0"/>
          <w:sz w:val="24"/>
          <w:szCs w:val="24"/>
          <w:lang w:eastAsia="zh-CN"/>
        </w:rPr>
        <w:t>产品生产质量、优化员工工作状态</w:t>
      </w:r>
      <w:r>
        <w:rPr>
          <w:rFonts w:asciiTheme="minorEastAsia" w:hAnsiTheme="minorEastAsia" w:eastAsiaTheme="minorEastAsia" w:cstheme="minorEastAsia"/>
          <w:color w:val="000000"/>
          <w:kern w:val="0"/>
          <w:sz w:val="24"/>
          <w:szCs w:val="24"/>
          <w:lang w:eastAsia="zh-CN"/>
        </w:rPr>
        <w:t>和提升企业形象的非常重要的手段</w:t>
      </w:r>
      <w:r>
        <w:rPr>
          <w:rFonts w:hint="eastAsia" w:asciiTheme="minorEastAsia" w:hAnsiTheme="minorEastAsia" w:eastAsiaTheme="minorEastAsia" w:cstheme="minorEastAsia"/>
          <w:color w:val="000000"/>
          <w:kern w:val="0"/>
          <w:sz w:val="24"/>
          <w:szCs w:val="24"/>
          <w:lang w:eastAsia="zh-CN"/>
        </w:rPr>
        <w:t>。</w:t>
      </w:r>
    </w:p>
    <w:p>
      <w:r>
        <w:rPr>
          <w:sz w:val="24"/>
        </w:rPr>
        <mc:AlternateContent>
          <mc:Choice Requires="wps">
            <w:drawing>
              <wp:anchor distT="0" distB="0" distL="114300" distR="114300" simplePos="0" relativeHeight="251691008" behindDoc="0" locked="0" layoutInCell="1" allowOverlap="1">
                <wp:simplePos x="0" y="0"/>
                <wp:positionH relativeFrom="column">
                  <wp:posOffset>171450</wp:posOffset>
                </wp:positionH>
                <wp:positionV relativeFrom="paragraph">
                  <wp:posOffset>118745</wp:posOffset>
                </wp:positionV>
                <wp:extent cx="5262245" cy="0"/>
                <wp:effectExtent l="15875" t="15875" r="0" b="22225"/>
                <wp:wrapNone/>
                <wp:docPr id="27" name="直接连接符 27"/>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3.5pt;margin-top:9.35pt;height:0pt;width:414.35pt;z-index:251691008;mso-width-relative:page;mso-height-relative:page;" filled="f" stroked="t" coordsize="21600,21600" o:gfxdata="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GhfhKNQAAAAIAQAADwAAAAAAAAABACAA&#10;AAAiAAAAZHJzL2Rvd25yZXYueG1sUEsBAhQAFAAAAAgAh07iQDGU93T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spacing w:line="440" w:lineRule="exact"/>
        <w:ind w:firstLine="480" w:firstLineChars="200"/>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pPr>
      <w:r>
        <w:rPr>
          <w:rFonts w:hint="eastAsia" w:ascii="方正仿宋_GB2312" w:hAnsi="方正仿宋_GB2312" w:eastAsia="方正仿宋_GB2312" w:cs="方正仿宋_GB2312"/>
          <w:snapToGrid w:val="0"/>
          <w:color w:val="000000"/>
          <w:kern w:val="0"/>
          <w:sz w:val="24"/>
          <w14:textOutline w14:w="4356" w14:cap="sq" w14:cmpd="sng" w14:algn="ctr">
            <w14:solidFill>
              <w14:srgbClr w14:val="000000"/>
            </w14:solidFill>
            <w14:prstDash w14:val="solid"/>
            <w14:bevel/>
          </w14:textOutline>
        </w:rPr>
        <w:t>✬重要提示：当发现风险时，企业需立即开展补救</w:t>
      </w:r>
    </w:p>
    <w:p>
      <w:pPr>
        <w:pStyle w:val="10"/>
        <w:spacing w:line="440" w:lineRule="exact"/>
        <w:ind w:firstLine="480" w:firstLineChars="200"/>
        <w:rPr>
          <w:rFonts w:hint="eastAsia" w:ascii="方正仿宋_GB2312" w:hAnsi="方正仿宋_GB2312" w:eastAsia="方正仿宋_GB2312" w:cs="方正仿宋_GB2312"/>
          <w:color w:val="000000"/>
          <w:kern w:val="0"/>
          <w:sz w:val="24"/>
          <w:szCs w:val="24"/>
          <w:lang w:eastAsia="zh-CN"/>
        </w:rPr>
      </w:pPr>
      <w:r>
        <w:rPr>
          <w:rFonts w:hint="eastAsia" w:ascii="方正仿宋_GB2312" w:hAnsi="方正仿宋_GB2312" w:eastAsia="方正仿宋_GB2312" w:cs="方正仿宋_GB2312"/>
          <w:color w:val="000000"/>
          <w:kern w:val="0"/>
          <w:sz w:val="24"/>
          <w:szCs w:val="24"/>
          <w:lang w:eastAsia="zh-CN"/>
        </w:rPr>
        <w:t>当包装环节出现瓶身瑕疵等情况时，要立刻停止对包装材料的使用，并通知相关方，包括供应商、生产商等，找出问题根源，采取如更换包装材料、加强质量控制等措施。</w:t>
      </w:r>
    </w:p>
    <w:p>
      <w:pPr>
        <w:pStyle w:val="10"/>
        <w:spacing w:line="440" w:lineRule="exact"/>
        <w:ind w:firstLine="482" w:firstLineChars="200"/>
        <w:rPr>
          <w:rFonts w:hint="eastAsia" w:ascii="方正仿宋_GB2312" w:hAnsi="方正仿宋_GB2312" w:eastAsia="方正仿宋_GB2312" w:cs="方正仿宋_GB2312"/>
          <w:b/>
          <w:bCs/>
          <w:kern w:val="0"/>
          <w:sz w:val="24"/>
          <w:szCs w:val="24"/>
          <w:lang w:eastAsia="zh-CN"/>
        </w:rPr>
      </w:pPr>
      <w:r>
        <w:rPr>
          <w:rFonts w:hint="eastAsia" w:ascii="方正仿宋_GB2312" w:hAnsi="方正仿宋_GB2312" w:eastAsia="方正仿宋_GB2312" w:cs="方正仿宋_GB2312"/>
          <w:b/>
          <w:bCs/>
          <w:kern w:val="0"/>
          <w:sz w:val="24"/>
          <w:szCs w:val="24"/>
          <w:lang w:eastAsia="zh-CN"/>
        </w:rPr>
        <w:t>生产过程中质量把控的源头是来料质量管理。</w:t>
      </w:r>
      <w:r>
        <w:rPr>
          <w:rFonts w:hint="eastAsia" w:ascii="方正仿宋_GB2312" w:hAnsi="方正仿宋_GB2312" w:eastAsia="方正仿宋_GB2312" w:cs="方正仿宋_GB2312"/>
          <w:bCs/>
          <w:kern w:val="0"/>
          <w:sz w:val="24"/>
          <w:szCs w:val="24"/>
          <w:lang w:eastAsia="zh-CN"/>
        </w:rPr>
        <w:t>设立完整、规范、具有标准化的来料检验程序，从源头保证白酒生产的质量，确保产品品质。</w:t>
      </w:r>
    </w:p>
    <w:p>
      <w:pPr>
        <w:pStyle w:val="10"/>
        <w:spacing w:line="440" w:lineRule="exact"/>
        <w:ind w:firstLine="482" w:firstLineChars="200"/>
        <w:rPr>
          <w:rFonts w:hint="eastAsia" w:ascii="方正仿宋_GB2312" w:hAnsi="方正仿宋_GB2312" w:eastAsia="方正仿宋_GB2312" w:cs="方正仿宋_GB2312"/>
          <w:b/>
          <w:bCs/>
          <w:kern w:val="0"/>
          <w:sz w:val="24"/>
          <w:szCs w:val="24"/>
          <w:lang w:eastAsia="zh-CN"/>
        </w:rPr>
      </w:pPr>
      <w:r>
        <w:rPr>
          <w:rFonts w:hint="eastAsia" w:ascii="方正仿宋_GB2312" w:hAnsi="方正仿宋_GB2312" w:eastAsia="方正仿宋_GB2312" w:cs="方正仿宋_GB2312"/>
          <w:b/>
          <w:bCs/>
          <w:kern w:val="0"/>
          <w:sz w:val="24"/>
          <w:szCs w:val="24"/>
          <w:lang w:eastAsia="zh-CN"/>
        </w:rPr>
        <w:t>生产过程中最重要的是生产质量把控</w:t>
      </w:r>
      <w:r>
        <w:rPr>
          <w:rFonts w:hint="eastAsia" w:ascii="方正仿宋_GB2312" w:hAnsi="方正仿宋_GB2312" w:eastAsia="方正仿宋_GB2312" w:cs="方正仿宋_GB2312"/>
          <w:kern w:val="0"/>
          <w:sz w:val="24"/>
          <w:szCs w:val="24"/>
          <w:lang w:eastAsia="zh-CN"/>
        </w:rPr>
        <w:t>。企业应制定明确、详细的质量标准及质检操作规范，在生产过程中对每个环节进行严格的质量监测和控制；建立产品全生命周期质量管理体系，确保每一环节的责任可追溯，一旦产生质量问题，可以迅速定位到具体原因，在短时间内可采取有效措施解决；关注质量改进创新工作，充实检验人员队伍，加强质检人员培训。</w:t>
      </w:r>
    </w:p>
    <w:p>
      <w:pPr>
        <w:pStyle w:val="10"/>
        <w:spacing w:line="440" w:lineRule="exact"/>
        <w:ind w:firstLine="482" w:firstLineChars="200"/>
        <w:rPr>
          <w:rFonts w:hint="eastAsia" w:ascii="方正仿宋_GB2312" w:hAnsi="方正仿宋_GB2312" w:eastAsia="方正仿宋_GB2312" w:cs="方正仿宋_GB2312"/>
          <w:color w:val="000000"/>
          <w:kern w:val="0"/>
          <w:sz w:val="24"/>
          <w:szCs w:val="24"/>
          <w:lang w:eastAsia="zh-CN"/>
        </w:rPr>
      </w:pPr>
      <w:r>
        <w:rPr>
          <w:rFonts w:hint="eastAsia" w:ascii="方正仿宋_GB2312" w:hAnsi="方正仿宋_GB2312" w:eastAsia="方正仿宋_GB2312" w:cs="方正仿宋_GB2312"/>
          <w:b/>
          <w:bCs/>
          <w:color w:val="000000"/>
          <w:kern w:val="0"/>
          <w:sz w:val="24"/>
          <w:szCs w:val="24"/>
          <w:lang w:eastAsia="zh-CN"/>
        </w:rPr>
        <w:t>生产过程中应注重环境保护。</w:t>
      </w:r>
      <w:r>
        <w:rPr>
          <w:rFonts w:hint="eastAsia" w:ascii="方正仿宋_GB2312" w:hAnsi="方正仿宋_GB2312" w:eastAsia="方正仿宋_GB2312" w:cs="方正仿宋_GB2312"/>
          <w:color w:val="000000"/>
          <w:kern w:val="0"/>
          <w:sz w:val="24"/>
          <w:szCs w:val="24"/>
          <w:lang w:eastAsia="zh-CN"/>
        </w:rPr>
        <w:t>企业应当积极适时地提供条件与政府、第三方及同行之间开展环境治理合作等，以消除由于自身造成或助长的实际风险，并且建立正当的补救机制，处理可能存在的分歧。</w:t>
      </w:r>
    </w:p>
    <w:p>
      <w:pPr>
        <w:pStyle w:val="10"/>
        <w:spacing w:line="440" w:lineRule="exact"/>
        <w:ind w:firstLine="480" w:firstLineChars="200"/>
        <w:rPr>
          <w:rFonts w:hint="eastAsia" w:ascii="方正仿宋_GB2312" w:hAnsi="方正仿宋_GB2312" w:eastAsia="方正仿宋_GB2312" w:cs="方正仿宋_GB2312"/>
          <w:color w:val="000000"/>
          <w:kern w:val="0"/>
          <w:sz w:val="24"/>
          <w:szCs w:val="24"/>
          <w:lang w:eastAsia="zh-CN"/>
        </w:rPr>
      </w:pPr>
      <w:r>
        <w:rPr>
          <w:rFonts w:hint="eastAsia" w:ascii="方正仿宋_GB2312" w:hAnsi="方正仿宋_GB2312" w:eastAsia="方正仿宋_GB2312" w:cs="方正仿宋_GB2312"/>
          <w:color w:val="000000"/>
          <w:kern w:val="0"/>
          <w:sz w:val="24"/>
          <w:szCs w:val="24"/>
          <w:lang w:eastAsia="zh-CN"/>
        </w:rPr>
        <w:t>减少能源浪费、碳排放量。企业应优化生产流程，减少对能源和原材料的浪费，采用高效的生产设备和技术，推广清洁能源。优化用能结构降低碳排放，如使用清洁能源等。采用循环经济模式，建立废弃物回收利用体系，将废弃物转化为资源再利用，采用绿色包装等方式降低碳排放。</w:t>
      </w:r>
    </w:p>
    <w:p>
      <w:pPr>
        <w:spacing w:line="440" w:lineRule="exact"/>
        <w:rPr>
          <w:rFonts w:ascii="仿宋_GB2312" w:eastAsia="仿宋_GB2312"/>
        </w:rPr>
      </w:pPr>
      <w:r>
        <w:rPr>
          <w:sz w:val="24"/>
        </w:rPr>
        <mc:AlternateContent>
          <mc:Choice Requires="wps">
            <w:drawing>
              <wp:anchor distT="0" distB="0" distL="114300" distR="114300" simplePos="0" relativeHeight="251692032" behindDoc="0" locked="0" layoutInCell="1" allowOverlap="1">
                <wp:simplePos x="0" y="0"/>
                <wp:positionH relativeFrom="column">
                  <wp:posOffset>258445</wp:posOffset>
                </wp:positionH>
                <wp:positionV relativeFrom="paragraph">
                  <wp:posOffset>153670</wp:posOffset>
                </wp:positionV>
                <wp:extent cx="5262245" cy="0"/>
                <wp:effectExtent l="15875" t="15875" r="0" b="22225"/>
                <wp:wrapNone/>
                <wp:docPr id="28" name="直接连接符 28"/>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0.35pt;margin-top:12.1pt;height:0pt;width:414.35pt;z-index:251692032;mso-width-relative:page;mso-height-relative:page;" filled="f" stroked="t" coordsize="21600,21600" o:gfxdata="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XCuGINQAAAAIAQAADwAAAAAAAAABACAA&#10;AAAiAAAAZHJzL2Rvd25yZXYueG1sUEsBAhQAFAAAAAgAh07iQM1P5jbYAQAAkQMAAA4AAAAAAAAA&#10;AQAgAAAAIwEAAGRycy9lMm9Eb2MueG1sUEsFBgAAAAAGAAYAWQEAAG0FAAAAAA==&#10;">
                <v:fill on="f" focussize="0,0"/>
                <v:stroke weight="2.5pt" color="#4874CB [3204]" joinstyle="round" dashstyle="1 1" endcap="round"/>
                <v:imagedata o:title=""/>
                <o:lock v:ext="edit" aspectratio="f"/>
              </v:line>
            </w:pict>
          </mc:Fallback>
        </mc:AlternateContent>
      </w:r>
    </w:p>
    <w:p>
      <w:pPr>
        <w:autoSpaceDE w:val="0"/>
        <w:autoSpaceDN w:val="0"/>
        <w:spacing w:line="440" w:lineRule="exact"/>
        <w:ind w:firstLine="480" w:firstLineChars="200"/>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以员工为例，若受到风险的员工权利受到法律保护，则企业应当按照法律要求对受到风险的员工进行补救，补救方式包括但不限于恢复原状、经济赔偿、解雇对风险负责的员工。在这个过程中，还应当征询受到风险的员工的意见。在不同时间段，评估受到风险的员工的满意度，是验证补救是否适当的重要方式。</w:t>
      </w:r>
    </w:p>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表 5-11：不同风险领域企业补救方式示例</w:t>
      </w:r>
    </w:p>
    <w:tbl>
      <w:tblPr>
        <w:tblStyle w:val="7"/>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20"/>
        <w:gridCol w:w="67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20"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白酒生产制造安全</w:t>
            </w:r>
          </w:p>
        </w:tc>
        <w:tc>
          <w:tcPr>
            <w:tcW w:w="6796"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●需要立刻查明问题的具体原因，从原材料、发酵、蒸馏、勾兑、包装等各个环节进行排查确保问题得到根本解决。</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●加强员工安全培训和教育，提高员工的安全意识和技能水平。</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●加强对生产过程中各个环节的监测与检查，及时发现隐患和问题，针对事故隐患，改进生产工艺和设备设计，提高设备的安全性能，加装安全保护装置，降低事故发生的可能性。</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●制定完善的应急预案，建立紧急疏散和救援机制，培训员工应对突发事件的应急处理能力，降低事故的损失和影响。</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●健全的安全责任制度，培育企业良好的安全文化，强调安全第一的理念，提倡安全行为，倡导员工自我保护意识，从而构建一个安全稳定的生产环境。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20"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白酒生产质量</w:t>
            </w:r>
          </w:p>
        </w:tc>
        <w:tc>
          <w:tcPr>
            <w:tcW w:w="6796" w:type="dxa"/>
          </w:tcPr>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●对已经发现的质量问题进行全面的追溯与分析，找出问题的根本原因，然后制定相应的整改计划，针对问题所在进行改进和调整。</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●如果生产设备出现问题可以考虑更换设备，或使用更先进高效的设备提高白酒的质量和产量。</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●加强对生产过程的监控和控制，立即停止生产有问题的白酒产品，以防止继续进入下一生产环节，采用自动化控制系统、实时监测设备等技术手段，提高生产过程的可控性。</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●建立完善的产品质量检测体系，对有问题的白酒产品进行详细的质量检测和分析，确定问题的具体原因和范围。这可以帮助找出生产过程中的缺陷，并采取措施防止类似问题再次发生。</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●完善的质量反馈机制，鼓励员工提出质量改进建议和意见，及时发现和解决存在的质量问题。可以建立质量问题反馈平台或投诉处理机制。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20"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制曲、制酒</w:t>
            </w:r>
          </w:p>
        </w:tc>
        <w:tc>
          <w:tcPr>
            <w:tcW w:w="6796" w:type="dxa"/>
          </w:tcPr>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●不断改进和完善质量管理体系，对原材料进行更严格的质量管控，确保原材料的品质符合标准和要求。</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●定期维护保养制曲、制酒设备，及时发现并处理设备故障，提高设备的可靠性和使用寿命，确保设备运行的正常和稳定。</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制曲、制酒工艺进行改进和优化，提高制曲、制酒过程的稳定性和产品品质，如优化大曲比例、控制水分和温度等关键参数，减少大曲发霉、变质等问题的发生；优化发酵工艺、控制发酵温度和时间等关键参数，提高酒精发酵效率和产品口感。</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●对生产管理和操作人员的培训与管理，提高员工的技术水平和工作素质，以及员工对生产工艺和质量控制的理解和认识。</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●加强生产现场的卫生防疫管理，防止微生物污染和交叉感染的发生。定期对生产场所进行清洁消毒，加强员工个人卫生管理，减少外来污染源的进入。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20"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勾贮</w:t>
            </w:r>
          </w:p>
        </w:tc>
        <w:tc>
          <w:tcPr>
            <w:tcW w:w="6796" w:type="dxa"/>
          </w:tcPr>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●根据基酒的实际情况和发展趋势，合理调整勾兑比例，调整不同酒龄和类型的基酒比例改善白酒的口感和质量。</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●对不同品质等级的基酒进行分级管理，采取不同的贮存措施和时间，以保证不同品质的酒液都能够达到预期的品质标准。</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●加强对贮存环境的控制，包括温度、湿度、光线和氧气等因素。保持稳定的贮存环境有助于减少基酒品质的波动，提高基酒的稳定性。</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●建立完善的白酒溯源体系，记录基酒的生产信息、贮存条件、监控数据等，以便追溯和分析品质问题的原因，并进行有效的改进措施。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20"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白酒包装</w:t>
            </w:r>
          </w:p>
        </w:tc>
        <w:tc>
          <w:tcPr>
            <w:tcW w:w="6796" w:type="dxa"/>
          </w:tcPr>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●对所选用的包装材料进行严格的检测和筛选，确保材料质量符合标准，具有良好的密封性和完整性。</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●强化对包装生产过程的质量检查，确保包装制品的质量符合要求。可以加大对包装的抽检频率，确保不合格品不进入市场。</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●对包装设备进行定期维护、保养和清洁，保证设备的正常运行，提高生产效率和包装质量。</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●设计合理的包装结构，提高包装的稳定性和耐渗漏性。针对已经出现的渗漏等问题，及时进行包装结构改进，提高包装的品质和可靠性。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20"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水资源</w:t>
            </w:r>
          </w:p>
        </w:tc>
        <w:tc>
          <w:tcPr>
            <w:tcW w:w="6796" w:type="dxa"/>
          </w:tcPr>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●对已经造成的污染源进行清理，包括废水、废气、废渣等，使其符合环保要求。</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●实施严格的资源管理制度，包括能源、水资源等的有效利用和管理。通过优化生产工艺、资源循环利用等措施，减少资源的浪费。</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●建立完善环保管理制度，明确各部门和员工的环保职责。</w:t>
            </w:r>
          </w:p>
          <w:p>
            <w:pPr>
              <w:autoSpaceDE w:val="0"/>
              <w:autoSpaceDN w:val="0"/>
              <w:spacing w:line="440" w:lineRule="exac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●加强员工培训，提高其环保意识与技能。</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●加强环保检测和监管工作，定期对生产过程中的污染物排放进行监测和评估。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20"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其他资源</w:t>
            </w:r>
          </w:p>
        </w:tc>
        <w:tc>
          <w:tcPr>
            <w:tcW w:w="6796" w:type="dxa"/>
          </w:tcPr>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●加强节能减排工作，优化设备和工艺，降低能源消耗，减少碳排放和环境污染，提高资源利用效率。</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●强化生产过程的精细化管理，优化生产计划和调度，减少资源的损耗，提高生产效率和资源利用率。</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●实施紧急处置措施，避免天然气泄漏导致的火灾、爆炸等危险事件发生。可以采取掩埋泄漏源、喷洒水雾降温、利用泡沫灭火等措施进行应急处置。</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●对事故进行全面调查和分析，找出事故的原因和责任，并采取相应的措施防止类似事故再次发生。同时，依法对责任人进行追责和处理。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020"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废物处理</w:t>
            </w:r>
          </w:p>
        </w:tc>
        <w:tc>
          <w:tcPr>
            <w:tcW w:w="6796" w:type="dxa"/>
          </w:tcPr>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●及时通知相关部门或专业人员，如环保部门或应急救援机构，以协助处理泄漏事故；同时对周边人员进行安全疏散，并通过警报系统通知周边居民和企业，提醒他们采取必要的安全措施。</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●如果废酒糟、废气泄漏是由于设备故障或泄漏引起的，应立即处理废泄漏源，关闭相关设备或阀门，防止污染扩散。</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●对污染周边环境的废物进行处理和清理，采用吸附、标准填埋、堆肥等方法，减少对环境的影响。</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●对已产生事故情况进行及时公开透明，与社会各界加强沟通和合作，共同应对事故带来的影响，保护公众健康和环境安全。</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●推行资源循环利用和废物回收利用政策，将生产过程中产生的废弃物进行有效的回收和再利用，减少资源的浪费和短缺。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0" w:hRule="atLeast"/>
        </w:trPr>
        <w:tc>
          <w:tcPr>
            <w:tcW w:w="2020" w:type="dxa"/>
            <w:vAlign w:val="center"/>
          </w:tcPr>
          <w:p>
            <w:pPr>
              <w:autoSpaceDE w:val="0"/>
              <w:autoSpaceDN w:val="0"/>
              <w:spacing w:line="440" w:lineRule="exact"/>
              <w:jc w:val="center"/>
              <w:rPr>
                <w:rFonts w:hint="eastAsia" w:ascii="方正仿宋_GB2312" w:hAnsi="方正仿宋_GB2312" w:eastAsia="方正仿宋_GB2312" w:cs="方正仿宋_GB2312"/>
                <w:color w:val="000000"/>
                <w:kern w:val="0"/>
                <w:sz w:val="24"/>
                <w:lang w:eastAsia="en-US"/>
              </w:rPr>
            </w:pPr>
            <w:r>
              <w:rPr>
                <w:rFonts w:hint="eastAsia" w:ascii="方正仿宋_GB2312" w:hAnsi="方正仿宋_GB2312" w:eastAsia="方正仿宋_GB2312" w:cs="方正仿宋_GB2312"/>
                <w:color w:val="000000"/>
                <w:kern w:val="0"/>
                <w:sz w:val="24"/>
                <w:lang w:eastAsia="en-US"/>
              </w:rPr>
              <w:t>职业健康与安全</w:t>
            </w:r>
          </w:p>
        </w:tc>
        <w:tc>
          <w:tcPr>
            <w:tcW w:w="6796" w:type="dxa"/>
          </w:tcPr>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●基于法律标准的医疗救治和经济补偿是最恰当的补救形式。</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●确保所有员工都有合法的劳动合同，并明确规定工作内容、工资待遇、工作时间、休假制度等，保障员工的合法权益。</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●定期开展员工职业健康监测和体检，及时发现职业病危害因素，保护员工的身体健康。</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●劳动者被诊断患有职业病，但用人单位没有依法参加工伤保险的，其医疗和生活保障由该用人单位承担。</w:t>
            </w:r>
          </w:p>
          <w:p>
            <w:pPr>
              <w:autoSpaceDE w:val="0"/>
              <w:autoSpaceDN w:val="0"/>
              <w:spacing w:line="440" w:lineRule="exact"/>
              <w:jc w:val="left"/>
              <w:rPr>
                <w:rFonts w:hint="eastAsia" w:ascii="方正仿宋_GB2312" w:hAnsi="方正仿宋_GB2312" w:eastAsia="方正仿宋_GB2312" w:cs="方正仿宋_GB2312"/>
                <w:color w:val="000000"/>
                <w:kern w:val="0"/>
                <w:sz w:val="24"/>
              </w:rPr>
            </w:pPr>
            <w:r>
              <w:rPr>
                <w:rFonts w:hint="eastAsia" w:ascii="方正仿宋_GB2312" w:hAnsi="方正仿宋_GB2312" w:eastAsia="方正仿宋_GB2312" w:cs="方正仿宋_GB2312"/>
                <w:color w:val="000000"/>
                <w:kern w:val="0"/>
                <w:sz w:val="24"/>
              </w:rPr>
              <w:t>●组建工会，建立和谐的劳资关系，通过工会代表员工维护自身权益，协商解决劳动纠纷。</w:t>
            </w:r>
          </w:p>
        </w:tc>
      </w:tr>
    </w:tbl>
    <w:p>
      <w:pPr>
        <w:pStyle w:val="10"/>
        <w:spacing w:line="440" w:lineRule="exact"/>
        <w:ind w:firstLine="460" w:firstLineChars="200"/>
        <w:rPr>
          <w:rFonts w:asciiTheme="minorEastAsia" w:hAnsiTheme="minorEastAsia" w:eastAsiaTheme="minorEastAsia" w:cstheme="minorEastAsia"/>
          <w:color w:val="FF0000"/>
          <w:spacing w:val="-5"/>
          <w:sz w:val="24"/>
          <w:szCs w:val="24"/>
          <w:lang w:eastAsia="zh-CN"/>
          <w14:textOutline w14:w="4356" w14:cap="sq" w14:cmpd="sng" w14:algn="ctr">
            <w14:solidFill>
              <w14:srgbClr w14:val="000000"/>
            </w14:solidFill>
            <w14:prstDash w14:val="solid"/>
            <w14:bevel/>
          </w14:textOutline>
        </w:rPr>
      </w:pPr>
      <w:r>
        <w:rPr>
          <w:rFonts w:hint="eastAsia" w:asciiTheme="minorEastAsia" w:hAnsiTheme="minorEastAsia" w:eastAsiaTheme="minorEastAsia" w:cstheme="minorEastAsia"/>
          <w:color w:val="FF0000"/>
          <w:spacing w:val="-5"/>
          <w:sz w:val="24"/>
          <w:szCs w:val="24"/>
          <w:lang w:eastAsia="zh-CN"/>
          <w14:textOutline w14:w="4356" w14:cap="sq" w14:cmpd="sng" w14:algn="ctr">
            <w14:solidFill>
              <w14:srgbClr w14:val="000000"/>
            </w14:solidFill>
            <w14:prstDash w14:val="solid"/>
            <w14:bevel/>
          </w14:textOutline>
        </w:rPr>
        <w:t>实用行动</w:t>
      </w:r>
    </w:p>
    <w:p>
      <w:pPr>
        <w:autoSpaceDE w:val="0"/>
        <w:autoSpaceDN w:val="0"/>
        <w:spacing w:line="440" w:lineRule="exact"/>
        <w:ind w:firstLine="480" w:firstLineChars="200"/>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●如果可行，将受影响人员恢复到其本来状况，根据风险的重要性与程度，实现相应的补救。</w:t>
      </w:r>
    </w:p>
    <w:p>
      <w:pPr>
        <w:autoSpaceDE w:val="0"/>
        <w:autoSpaceDN w:val="0"/>
        <w:spacing w:line="440" w:lineRule="exact"/>
        <w:ind w:firstLine="480" w:firstLineChars="200"/>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●按法律要求提供补救。适当类型的补救可包括道歉、复职或恢复原状、经济或非经济补偿、追责措施、采取措施防范未来发生风险等。</w:t>
      </w:r>
    </w:p>
    <w:p>
      <w:pPr>
        <w:autoSpaceDE w:val="0"/>
        <w:autoSpaceDN w:val="0"/>
        <w:spacing w:line="440" w:lineRule="exact"/>
        <w:ind w:firstLine="480" w:firstLineChars="200"/>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●提供补救时，要充分考虑损害发生地的文化背景。</w:t>
      </w:r>
    </w:p>
    <w:p>
      <w:pPr>
        <w:autoSpaceDE w:val="0"/>
        <w:autoSpaceDN w:val="0"/>
        <w:spacing w:line="440" w:lineRule="exact"/>
        <w:ind w:firstLine="480" w:firstLineChars="200"/>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●询利益相关方及其代表的意见并与之开展合作，以确定补救方式。</w:t>
      </w:r>
    </w:p>
    <w:p>
      <w:pPr>
        <w:autoSpaceDE w:val="0"/>
        <w:autoSpaceDN w:val="0"/>
        <w:spacing w:line="440" w:lineRule="exact"/>
        <w:ind w:firstLine="480" w:firstLineChars="200"/>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●评估利益相关方对事件处理过程及效果的满意度。</w:t>
      </w:r>
    </w:p>
    <w:bookmarkEnd w:id="50"/>
    <w:bookmarkEnd w:id="51"/>
    <w:p>
      <w:pPr>
        <w:pStyle w:val="2"/>
        <w:pageBreakBefore w:val="0"/>
        <w:kinsoku/>
        <w:wordWrap/>
        <w:overflowPunct/>
        <w:topLinePunct w:val="0"/>
        <w:autoSpaceDE/>
        <w:autoSpaceDN/>
        <w:bidi w:val="0"/>
        <w:adjustRightInd/>
        <w:snapToGrid/>
        <w:spacing w:line="420" w:lineRule="exact"/>
        <w:textAlignment w:val="auto"/>
        <w:rPr>
          <w:rFonts w:hint="eastAsia" w:ascii="方正公文黑体" w:hAnsi="方正公文黑体" w:eastAsia="方正公文黑体" w:cs="方正公文黑体"/>
          <w:sz w:val="28"/>
          <w:szCs w:val="28"/>
          <w:lang w:val="en-US" w:eastAsia="zh-CN"/>
        </w:rPr>
      </w:pPr>
      <w:bookmarkStart w:id="99" w:name="_Toc21003"/>
      <w:bookmarkStart w:id="100" w:name="_Toc22129"/>
      <w:bookmarkStart w:id="101" w:name="_Toc28540"/>
      <w:r>
        <w:rPr>
          <w:rFonts w:hint="eastAsia" w:ascii="方正公文黑体" w:hAnsi="方正公文黑体" w:eastAsia="方正公文黑体" w:cs="方正公文黑体"/>
          <w:sz w:val="28"/>
          <w:szCs w:val="28"/>
          <w:lang w:val="en-US" w:eastAsia="zh-CN"/>
        </w:rPr>
        <w:fldChar w:fldCharType="begin"/>
      </w:r>
      <w:r>
        <w:rPr>
          <w:rFonts w:hint="eastAsia" w:ascii="方正公文黑体" w:hAnsi="方正公文黑体" w:eastAsia="方正公文黑体" w:cs="方正公文黑体"/>
          <w:sz w:val="28"/>
          <w:szCs w:val="28"/>
          <w:lang w:val="en-US" w:eastAsia="zh-CN"/>
        </w:rPr>
        <w:instrText xml:space="preserve"> HYPERLINK \l _Toc2243 </w:instrText>
      </w:r>
      <w:r>
        <w:rPr>
          <w:rFonts w:hint="eastAsia" w:ascii="方正公文黑体" w:hAnsi="方正公文黑体" w:eastAsia="方正公文黑体" w:cs="方正公文黑体"/>
          <w:sz w:val="28"/>
          <w:szCs w:val="28"/>
          <w:lang w:val="en-US" w:eastAsia="zh-CN"/>
        </w:rPr>
        <w:fldChar w:fldCharType="separate"/>
      </w:r>
      <w:r>
        <w:rPr>
          <w:rFonts w:hint="eastAsia" w:ascii="方正公文黑体" w:hAnsi="方正公文黑体" w:eastAsia="方正公文黑体" w:cs="方正公文黑体"/>
          <w:sz w:val="28"/>
          <w:szCs w:val="28"/>
          <w:lang w:val="en-US" w:eastAsia="zh-CN"/>
        </w:rPr>
        <w:t>5.3白酒营销过程尽责管理</w:t>
      </w:r>
      <w:r>
        <w:rPr>
          <w:rFonts w:hint="eastAsia" w:ascii="方正公文黑体" w:hAnsi="方正公文黑体" w:eastAsia="方正公文黑体" w:cs="方正公文黑体"/>
          <w:sz w:val="28"/>
          <w:szCs w:val="28"/>
          <w:lang w:val="en-US" w:eastAsia="zh-CN"/>
        </w:rPr>
        <w:fldChar w:fldCharType="end"/>
      </w:r>
      <w:bookmarkEnd w:id="99"/>
      <w:bookmarkEnd w:id="100"/>
      <w:bookmarkEnd w:id="101"/>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102" w:name="_Toc6549"/>
      <w:bookmarkStart w:id="103" w:name="_Toc6643"/>
      <w:bookmarkStart w:id="104" w:name="_Toc4339"/>
      <w:r>
        <w:rPr>
          <w:rFonts w:hint="eastAsia" w:ascii="方正公文黑体" w:hAnsi="方正公文黑体" w:eastAsia="方正公文黑体" w:cs="方正公文黑体"/>
          <w:sz w:val="28"/>
          <w:szCs w:val="28"/>
          <w:lang w:val="en-US" w:eastAsia="zh-CN"/>
        </w:rPr>
        <w:fldChar w:fldCharType="begin"/>
      </w:r>
      <w:r>
        <w:rPr>
          <w:rFonts w:hint="eastAsia" w:ascii="方正公文黑体" w:hAnsi="方正公文黑体" w:eastAsia="方正公文黑体" w:cs="方正公文黑体"/>
          <w:sz w:val="28"/>
          <w:szCs w:val="28"/>
          <w:lang w:val="en-US" w:eastAsia="zh-CN"/>
        </w:rPr>
        <w:instrText xml:space="preserve"> HYPERLINK \l _Toc14359 </w:instrText>
      </w:r>
      <w:r>
        <w:rPr>
          <w:rFonts w:hint="eastAsia" w:ascii="方正公文黑体" w:hAnsi="方正公文黑体" w:eastAsia="方正公文黑体" w:cs="方正公文黑体"/>
          <w:sz w:val="28"/>
          <w:szCs w:val="28"/>
          <w:lang w:val="en-US" w:eastAsia="zh-CN"/>
        </w:rPr>
        <w:fldChar w:fldCharType="separate"/>
      </w:r>
      <w:r>
        <w:rPr>
          <w:rFonts w:hint="eastAsia" w:ascii="方正公文黑体" w:hAnsi="方正公文黑体" w:eastAsia="方正公文黑体" w:cs="方正公文黑体"/>
          <w:sz w:val="28"/>
          <w:szCs w:val="28"/>
          <w:lang w:val="en-US" w:eastAsia="zh-CN"/>
        </w:rPr>
        <w:t>5.3.1</w:t>
      </w:r>
      <w:r>
        <w:rPr>
          <w:rFonts w:hint="eastAsia" w:ascii="方正公文黑体" w:hAnsi="方正公文黑体" w:eastAsia="方正公文黑体" w:cs="方正公文黑体"/>
          <w:sz w:val="28"/>
          <w:szCs w:val="28"/>
        </w:rPr>
        <w:t>将</w:t>
      </w:r>
      <w:r>
        <w:rPr>
          <w:rFonts w:hint="eastAsia" w:ascii="方正公文黑体" w:hAnsi="方正公文黑体" w:eastAsia="方正公文黑体" w:cs="方正公文黑体"/>
          <w:sz w:val="28"/>
          <w:szCs w:val="28"/>
          <w:lang w:eastAsia="zh-CN"/>
        </w:rPr>
        <w:t>白酒营销</w:t>
      </w:r>
      <w:r>
        <w:rPr>
          <w:rFonts w:hint="eastAsia" w:ascii="方正公文黑体" w:hAnsi="方正公文黑体" w:eastAsia="方正公文黑体" w:cs="方正公文黑体"/>
          <w:sz w:val="28"/>
          <w:szCs w:val="28"/>
          <w:lang w:val="en-US" w:eastAsia="zh-CN"/>
        </w:rPr>
        <w:t>尽责管理</w:t>
      </w:r>
      <w:r>
        <w:rPr>
          <w:rFonts w:hint="eastAsia" w:ascii="方正公文黑体" w:hAnsi="方正公文黑体" w:eastAsia="方正公文黑体" w:cs="方正公文黑体"/>
          <w:sz w:val="28"/>
          <w:szCs w:val="28"/>
        </w:rPr>
        <w:t>融入企业政策与管理体系</w:t>
      </w:r>
      <w:r>
        <w:rPr>
          <w:rFonts w:hint="eastAsia" w:ascii="方正公文黑体" w:hAnsi="方正公文黑体" w:eastAsia="方正公文黑体" w:cs="方正公文黑体"/>
          <w:sz w:val="28"/>
          <w:szCs w:val="28"/>
          <w:lang w:val="en-US" w:eastAsia="zh-CN"/>
        </w:rPr>
        <w:fldChar w:fldCharType="end"/>
      </w:r>
      <w:bookmarkEnd w:id="102"/>
      <w:bookmarkEnd w:id="103"/>
      <w:bookmarkEnd w:id="104"/>
    </w:p>
    <w:p>
      <w:pPr>
        <w:pStyle w:val="3"/>
        <w:keepNext w:val="0"/>
        <w:keepLines w:val="0"/>
        <w:pageBreakBefore w:val="0"/>
        <w:widowControl w:val="0"/>
        <w:kinsoku/>
        <w:wordWrap/>
        <w:overflowPunct/>
        <w:topLinePunct w:val="0"/>
        <w:autoSpaceDE/>
        <w:autoSpaceDN/>
        <w:bidi w:val="0"/>
        <w:adjustRightInd/>
        <w:snapToGrid/>
        <w:spacing w:afterAutospacing="0" w:line="440" w:lineRule="exact"/>
        <w:ind w:right="0" w:firstLine="480" w:firstLineChars="200"/>
        <w:textAlignment w:val="auto"/>
        <w:rPr>
          <w:rFonts w:hint="eastAsia" w:asciiTheme="minorEastAsia" w:hAnsiTheme="minorEastAsia" w:eastAsiaTheme="minorEastAsia" w:cstheme="minorEastAsia"/>
          <w:b w:val="0"/>
          <w:bCs w:val="0"/>
          <w:color w:val="auto"/>
          <w:kern w:val="0"/>
          <w:sz w:val="24"/>
          <w:szCs w:val="24"/>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bidi="ar-SA"/>
        </w:rPr>
        <w:t>白酒企业应将白酒营销尽责管理融入企业各项政策，包括产品策略、价格策略、促销策略、分销策略和客户关系管理策略等，确保营销活动不仅合法合规，而且积极承担社会责任。在产品策略方面，应注重产品质量与创新，保障消费者产品质量安全的同时，满足消费者多样化的需求；在价格策略上，企业应合理定位，体现产品价值，保障消费者权益；在客户关系管理上，应建立长期互动关系，提升客户满意度；在促销策略方面，企业需建立严格的内部审核机制，对广告内容、促销手段和市场定位进行全面把关，防止误导消费者，特别是保护未成年人免受不良影响。同时，企业应倡导理性饮酒文化，通过教育和公益活动提升公众意识，促进健康饮酒习惯，以实现可持续发展和品牌形象的长远提升；在渠道和分销策略方面，企业则需优化网络布局，确保产品高效流通。通过这些综合策略，白酒企业能够在激烈的市场竞争中稳健前行，实现品牌和业绩的双重增长。</w:t>
      </w:r>
    </w:p>
    <w:p>
      <w:pPr>
        <w:pStyle w:val="3"/>
        <w:keepNext w:val="0"/>
        <w:keepLines w:val="0"/>
        <w:pageBreakBefore w:val="0"/>
        <w:widowControl w:val="0"/>
        <w:kinsoku/>
        <w:wordWrap/>
        <w:overflowPunct/>
        <w:topLinePunct w:val="0"/>
        <w:autoSpaceDE/>
        <w:autoSpaceDN/>
        <w:bidi w:val="0"/>
        <w:adjustRightInd/>
        <w:snapToGrid/>
        <w:spacing w:afterAutospacing="0" w:line="440" w:lineRule="exact"/>
        <w:ind w:right="0" w:firstLine="480" w:firstLineChars="200"/>
        <w:textAlignment w:val="auto"/>
        <w:rPr>
          <w:rFonts w:hint="eastAsia" w:asciiTheme="minorEastAsia" w:hAnsiTheme="minorEastAsia" w:eastAsiaTheme="minorEastAsia" w:cstheme="minorEastAsia"/>
          <w:b w:val="0"/>
          <w:bCs w:val="0"/>
          <w:color w:val="auto"/>
          <w:kern w:val="0"/>
          <w:sz w:val="24"/>
          <w:szCs w:val="24"/>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bidi="ar-SA"/>
        </w:rPr>
        <w:t>白酒企业将营销尽责管理融入企业管理体系，首先需在战略层面确立尽责管理的重要性。通过调整组织结构，设立专责部门监督营销活动的合规性与社会责任。制定严格的营销审批流程，确保广告和促销活动不误导消费者，同时遵守法律法规。加强员工培训，提升其对营销尽责的认识，并将这一理念融入企业文化。建立信息共享平台，提高透明度，定期向公众报告营销活动的社会责任实践。通过持续的反馈和评估机制，不断优化营销策略，确保营销尽责管理的有效实施，促进企业的可持续发展。</w:t>
      </w:r>
    </w:p>
    <w:p>
      <w:pPr>
        <w:pStyle w:val="3"/>
        <w:keepNext w:val="0"/>
        <w:keepLines w:val="0"/>
        <w:pageBreakBefore w:val="0"/>
        <w:widowControl w:val="0"/>
        <w:kinsoku/>
        <w:wordWrap/>
        <w:overflowPunct/>
        <w:topLinePunct w:val="0"/>
        <w:autoSpaceDE/>
        <w:autoSpaceDN/>
        <w:bidi w:val="0"/>
        <w:adjustRightInd/>
        <w:snapToGrid/>
        <w:spacing w:afterAutospacing="0" w:line="440" w:lineRule="exact"/>
        <w:ind w:right="0" w:firstLine="482" w:firstLineChars="200"/>
        <w:textAlignment w:val="auto"/>
        <w:rPr>
          <w:rFonts w:hint="default"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bidi="ar-SA"/>
        </w:rPr>
        <w:t>实用行动</w:t>
      </w:r>
    </w:p>
    <w:p>
      <w:pPr>
        <w:pStyle w:val="3"/>
        <w:keepNext w:val="0"/>
        <w:keepLines w:val="0"/>
        <w:pageBreakBefore w:val="0"/>
        <w:widowControl w:val="0"/>
        <w:kinsoku/>
        <w:wordWrap/>
        <w:overflowPunct/>
        <w:topLinePunct w:val="0"/>
        <w:autoSpaceDE/>
        <w:autoSpaceDN/>
        <w:bidi w:val="0"/>
        <w:adjustRightInd/>
        <w:snapToGrid/>
        <w:spacing w:afterAutospacing="0" w:line="440" w:lineRule="exact"/>
        <w:ind w:right="0" w:firstLine="480" w:firstLineChars="200"/>
        <w:textAlignment w:val="auto"/>
        <w:rPr>
          <w:rFonts w:hint="eastAsia" w:asciiTheme="minorEastAsia" w:hAnsiTheme="minorEastAsia" w:eastAsiaTheme="minorEastAsia" w:cstheme="minorEastAsia"/>
          <w:b w:val="0"/>
          <w:bCs w:val="0"/>
          <w:color w:val="auto"/>
          <w:kern w:val="0"/>
          <w:sz w:val="24"/>
          <w:szCs w:val="24"/>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SA"/>
        </w:rPr>
        <w:t>企业应将营销尽责管理作为核心政策与体系，系统地应对市场风险。通过定期进行风险评估识别潜在的不利影响，并据此制定策略来减轻或消除这些风险，确保营销活动与企业的可持续发展目标相协调。</w:t>
      </w:r>
    </w:p>
    <w:p>
      <w:pPr>
        <w:pStyle w:val="3"/>
        <w:keepNext w:val="0"/>
        <w:keepLines w:val="0"/>
        <w:pageBreakBefore w:val="0"/>
        <w:widowControl w:val="0"/>
        <w:kinsoku/>
        <w:wordWrap/>
        <w:overflowPunct/>
        <w:topLinePunct w:val="0"/>
        <w:autoSpaceDE/>
        <w:autoSpaceDN/>
        <w:bidi w:val="0"/>
        <w:adjustRightInd/>
        <w:snapToGrid/>
        <w:spacing w:afterAutospacing="0" w:line="440" w:lineRule="exact"/>
        <w:ind w:right="0" w:firstLine="480" w:firstLineChars="200"/>
        <w:textAlignment w:val="auto"/>
        <w:rPr>
          <w:rFonts w:hint="eastAsia" w:asciiTheme="minorEastAsia" w:hAnsiTheme="minorEastAsia" w:eastAsiaTheme="minorEastAsia" w:cstheme="minorEastAsia"/>
          <w:b w:val="0"/>
          <w:bCs w:val="0"/>
          <w:color w:val="auto"/>
          <w:kern w:val="0"/>
          <w:sz w:val="24"/>
          <w:szCs w:val="24"/>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SA"/>
        </w:rPr>
        <w:t>企业应在其官方网站、实体经营场所以及官方微信公众号等渠道，透明地公示其白酒营销尽责管理的相关政策，增强消费者和公众的信任，同时促进企业良好发展。</w:t>
      </w:r>
    </w:p>
    <w:p>
      <w:pPr>
        <w:pStyle w:val="3"/>
        <w:keepNext w:val="0"/>
        <w:keepLines w:val="0"/>
        <w:pageBreakBefore w:val="0"/>
        <w:widowControl w:val="0"/>
        <w:kinsoku/>
        <w:wordWrap/>
        <w:overflowPunct/>
        <w:topLinePunct w:val="0"/>
        <w:autoSpaceDE/>
        <w:autoSpaceDN/>
        <w:bidi w:val="0"/>
        <w:adjustRightInd/>
        <w:snapToGrid/>
        <w:spacing w:afterAutospacing="0" w:line="440" w:lineRule="exact"/>
        <w:ind w:right="0" w:firstLine="480" w:firstLineChars="200"/>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企业需通过多样化的沟通策略，向分销商普及营销尽责管理政策。这包括在企业内部公告板上发布政策内容、组织专门的培训会议以及通过电子邮件和通讯简报等形式，确保员工和分销商对政策有深入的理解和明确的认识。通过这些举措，企业能够确保营销活动与尽责管理政策保持一致，同时提升整个销售网络的责任感和合规性。</w:t>
      </w:r>
    </w:p>
    <w:p>
      <w:pPr>
        <w:pStyle w:val="3"/>
        <w:keepNext w:val="0"/>
        <w:keepLines w:val="0"/>
        <w:pageBreakBefore w:val="0"/>
        <w:widowControl w:val="0"/>
        <w:kinsoku/>
        <w:wordWrap/>
        <w:overflowPunct/>
        <w:topLinePunct w:val="0"/>
        <w:autoSpaceDE/>
        <w:autoSpaceDN/>
        <w:bidi w:val="0"/>
        <w:adjustRightInd/>
        <w:snapToGrid/>
        <w:spacing w:afterAutospacing="0" w:line="440" w:lineRule="exact"/>
        <w:ind w:right="0" w:firstLine="480" w:firstLineChars="200"/>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●随着企业运营模式的演进、外部环境的变动以及业务往来的不断演变，企业需定期审视并更新其政策，以确保政策内容能够反映最新的业务实践、市场趋势和法规要求，防范营销过程中的各种风险。</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105" w:name="_Toc22860"/>
      <w:bookmarkStart w:id="106" w:name="_Toc20382"/>
      <w:bookmarkStart w:id="107" w:name="_Toc12520"/>
      <w:r>
        <w:rPr>
          <w:rFonts w:hint="eastAsia" w:ascii="方正公文黑体" w:hAnsi="方正公文黑体" w:eastAsia="方正公文黑体" w:cs="方正公文黑体"/>
          <w:sz w:val="28"/>
          <w:szCs w:val="28"/>
          <w:lang w:val="en-US" w:eastAsia="zh-CN"/>
        </w:rPr>
        <w:fldChar w:fldCharType="begin"/>
      </w:r>
      <w:r>
        <w:rPr>
          <w:rFonts w:hint="eastAsia" w:ascii="方正公文黑体" w:hAnsi="方正公文黑体" w:eastAsia="方正公文黑体" w:cs="方正公文黑体"/>
          <w:sz w:val="28"/>
          <w:szCs w:val="28"/>
          <w:lang w:val="en-US" w:eastAsia="zh-CN"/>
        </w:rPr>
        <w:instrText xml:space="preserve"> HYPERLINK \l _Toc17886 </w:instrText>
      </w:r>
      <w:r>
        <w:rPr>
          <w:rFonts w:hint="eastAsia" w:ascii="方正公文黑体" w:hAnsi="方正公文黑体" w:eastAsia="方正公文黑体" w:cs="方正公文黑体"/>
          <w:sz w:val="28"/>
          <w:szCs w:val="28"/>
          <w:lang w:val="en-US" w:eastAsia="zh-CN"/>
        </w:rPr>
        <w:fldChar w:fldCharType="separate"/>
      </w:r>
      <w:r>
        <w:rPr>
          <w:rFonts w:hint="eastAsia" w:ascii="方正公文黑体" w:hAnsi="方正公文黑体" w:eastAsia="方正公文黑体" w:cs="方正公文黑体"/>
          <w:sz w:val="28"/>
          <w:szCs w:val="28"/>
          <w:lang w:val="en-US" w:eastAsia="zh-CN"/>
        </w:rPr>
        <w:t>5.3.2</w:t>
      </w:r>
      <w:r>
        <w:rPr>
          <w:rFonts w:hint="eastAsia" w:ascii="方正公文黑体" w:hAnsi="方正公文黑体" w:eastAsia="方正公文黑体" w:cs="方正公文黑体"/>
          <w:sz w:val="28"/>
          <w:szCs w:val="28"/>
        </w:rPr>
        <w:t>识别和评估对</w:t>
      </w:r>
      <w:r>
        <w:rPr>
          <w:rFonts w:hint="eastAsia" w:ascii="方正公文黑体" w:hAnsi="方正公文黑体" w:eastAsia="方正公文黑体" w:cs="方正公文黑体"/>
          <w:sz w:val="28"/>
          <w:szCs w:val="28"/>
          <w:lang w:eastAsia="zh-CN"/>
        </w:rPr>
        <w:t>白酒营销体系风险</w:t>
      </w:r>
      <w:r>
        <w:rPr>
          <w:rFonts w:hint="eastAsia" w:ascii="方正公文黑体" w:hAnsi="方正公文黑体" w:eastAsia="方正公文黑体" w:cs="方正公文黑体"/>
          <w:sz w:val="28"/>
          <w:szCs w:val="28"/>
          <w:lang w:val="en-US" w:eastAsia="zh-CN"/>
        </w:rPr>
        <w:fldChar w:fldCharType="end"/>
      </w:r>
      <w:bookmarkEnd w:id="105"/>
      <w:bookmarkEnd w:id="106"/>
      <w:bookmarkEnd w:id="107"/>
    </w:p>
    <w:p>
      <w:pPr>
        <w:pageBreakBefore w:val="0"/>
        <w:wordWrap/>
        <w:overflowPunct/>
        <w:topLinePunct w:val="0"/>
        <w:bidi w:val="0"/>
        <w:spacing w:before="179" w:line="400" w:lineRule="exact"/>
        <w:ind w:firstLine="480" w:firstLineChars="200"/>
        <w:rPr>
          <w:rFonts w:hint="eastAsia" w:asciiTheme="minorEastAsia" w:hAnsiTheme="minorEastAsia" w:cstheme="minorEastAsia"/>
          <w:b w:val="0"/>
          <w:bCs w:val="0"/>
          <w:color w:val="auto"/>
          <w:kern w:val="0"/>
          <w:sz w:val="24"/>
          <w:szCs w:val="24"/>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bidi="ar-SA"/>
        </w:rPr>
        <w:t>在白酒企业的营销活动中，对各种潜在风险的评估和识别是确保企业持续稳定发展的基础。企业必须通过细致的风险管理流程，识别包括产品安</w:t>
      </w:r>
      <w:r>
        <w:rPr>
          <w:rFonts w:hint="eastAsia" w:asciiTheme="minorEastAsia" w:hAnsiTheme="minorEastAsia" w:cstheme="minorEastAsia"/>
          <w:b w:val="0"/>
          <w:bCs w:val="0"/>
          <w:color w:val="auto"/>
          <w:kern w:val="0"/>
          <w:sz w:val="24"/>
          <w:szCs w:val="24"/>
          <w:lang w:val="en-US" w:eastAsia="zh-CN" w:bidi="ar-SA"/>
        </w:rPr>
        <w:t>全、消费者权益保护等</w:t>
      </w:r>
      <w:r>
        <w:rPr>
          <w:rFonts w:hint="eastAsia" w:asciiTheme="minorEastAsia" w:hAnsiTheme="minorEastAsia" w:eastAsiaTheme="minorEastAsia" w:cstheme="minorEastAsia"/>
          <w:b w:val="0"/>
          <w:bCs w:val="0"/>
          <w:color w:val="auto"/>
          <w:kern w:val="0"/>
          <w:sz w:val="24"/>
          <w:szCs w:val="24"/>
          <w:lang w:val="en-US" w:eastAsia="zh-CN" w:bidi="ar-SA"/>
        </w:rPr>
        <w:t>风险因素。</w:t>
      </w:r>
      <w:r>
        <w:rPr>
          <w:rFonts w:hint="eastAsia" w:asciiTheme="minorEastAsia" w:hAnsiTheme="minorEastAsia" w:cstheme="minorEastAsia"/>
          <w:b w:val="0"/>
          <w:bCs w:val="0"/>
          <w:color w:val="auto"/>
          <w:kern w:val="0"/>
          <w:sz w:val="24"/>
          <w:szCs w:val="24"/>
          <w:lang w:val="en-US" w:eastAsia="zh-CN" w:bidi="ar-SA"/>
        </w:rPr>
        <w:t>例如，</w:t>
      </w:r>
      <w:r>
        <w:rPr>
          <w:rFonts w:hint="eastAsia" w:asciiTheme="minorEastAsia" w:hAnsiTheme="minorEastAsia" w:eastAsiaTheme="minorEastAsia" w:cstheme="minorEastAsia"/>
          <w:b w:val="0"/>
          <w:bCs w:val="0"/>
          <w:color w:val="auto"/>
          <w:kern w:val="0"/>
          <w:sz w:val="24"/>
          <w:szCs w:val="24"/>
          <w:lang w:val="en-US" w:eastAsia="zh-CN" w:bidi="ar-SA"/>
        </w:rPr>
        <w:t>针对产品安全风险，</w:t>
      </w:r>
      <w:r>
        <w:rPr>
          <w:rFonts w:hint="eastAsia" w:asciiTheme="minorEastAsia" w:hAnsiTheme="minorEastAsia" w:cstheme="minorEastAsia"/>
          <w:b w:val="0"/>
          <w:bCs w:val="0"/>
          <w:color w:val="auto"/>
          <w:kern w:val="0"/>
          <w:sz w:val="24"/>
          <w:szCs w:val="24"/>
          <w:lang w:val="en-US" w:eastAsia="zh-CN" w:bidi="ar-SA"/>
        </w:rPr>
        <w:t>产品溯源体系应该被重视，确保从原料采购到生产、储存、运输直至销售的每个环节都符合食品安全标准，以及能够追溯产品来源。对于消费者权益保护，企业应重视消费者的知情权和公平交易权。这意味着企业需要提供准确和透明的产品信息，避免误导性宣传，确保消费者能够做出明智的购买决策。同时，企业应提供公平的交易条件，包括合理的价格、质量相符的产品以及优质的售后服务，以建立和维护消费者的信任。</w:t>
      </w:r>
    </w:p>
    <w:p>
      <w:pPr>
        <w:keepNext w:val="0"/>
        <w:keepLines w:val="0"/>
        <w:pageBreakBefore w:val="0"/>
        <w:widowControl w:val="0"/>
        <w:kinsoku/>
        <w:wordWrap/>
        <w:overflowPunct/>
        <w:topLinePunct w:val="0"/>
        <w:autoSpaceDE/>
        <w:autoSpaceDN/>
        <w:bidi w:val="0"/>
        <w:adjustRightInd/>
        <w:snapToGrid/>
        <w:spacing w:before="179" w:line="400" w:lineRule="exact"/>
        <w:ind w:firstLine="482" w:firstLineChars="200"/>
        <w:textAlignment w:val="auto"/>
        <w:rPr>
          <w:rFonts w:hint="eastAsia" w:ascii="方正仿宋_GB2312" w:hAnsi="方正仿宋_GB2312" w:eastAsia="方正仿宋_GB2312" w:cs="方正仿宋_GB2312"/>
          <w:b/>
          <w:bCs/>
          <w:color w:val="FF0000"/>
          <w:spacing w:val="-5"/>
          <w:sz w:val="24"/>
          <w:szCs w:val="24"/>
          <w:lang w:val="en-US" w:eastAsia="zh-CN"/>
          <w14:textOutline w14:w="4358" w14:cap="sq" w14:cmpd="sng">
            <w14:solidFill>
              <w14:srgbClr w14:val="000000"/>
            </w14:solidFill>
            <w14:prstDash w14:val="solid"/>
            <w14:bevel/>
          </w14:textOutline>
        </w:rPr>
      </w:pPr>
      <w:r>
        <w:rPr>
          <w:rFonts w:hint="eastAsia" w:ascii="方正仿宋_GB2312" w:hAnsi="方正仿宋_GB2312" w:eastAsia="方正仿宋_GB2312" w:cs="方正仿宋_GB2312"/>
          <w:b/>
          <w:bCs/>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z w:val="24"/>
        </w:rPr>
        <mc:AlternateContent>
          <mc:Choice Requires="wps">
            <w:drawing>
              <wp:anchor distT="0" distB="0" distL="114300" distR="114300" simplePos="0" relativeHeight="251675648" behindDoc="0" locked="0" layoutInCell="1" allowOverlap="1">
                <wp:simplePos x="0" y="0"/>
                <wp:positionH relativeFrom="column">
                  <wp:posOffset>276225</wp:posOffset>
                </wp:positionH>
                <wp:positionV relativeFrom="paragraph">
                  <wp:posOffset>62865</wp:posOffset>
                </wp:positionV>
                <wp:extent cx="5262245" cy="0"/>
                <wp:effectExtent l="15875" t="15875" r="0" b="22225"/>
                <wp:wrapNone/>
                <wp:docPr id="42" name="直接连接符 42"/>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75pt;margin-top:4.95pt;height:0pt;width:414.35pt;z-index:251675648;mso-width-relative:page;mso-height-relative:page;" filled="f" stroked="t" coordsize="21600,21600" o:gfxdata="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3iR2jTAAAABgEA&#10;AA8AAAAAAAAAAQAgAAAAIgAAAGRycy9kb3ducmV2LnhtbFBLAQIUABQAAAAIAIdO4kD/gWC05gEA&#10;AJ0DAAAOAAAAAAAAAAEAIAAAACIBAABkcnMvZTJvRG9jLnhtbFBLBQYAAAAABgAGAFkBAAB6BQAA&#10;AAA=&#10;">
                <v:fill on="f" focussize="0,0"/>
                <v:stroke weight="2.5pt" color="#4874CB [3204]" joinstyle="round" dashstyle="1 1" endcap="round"/>
                <v:imagedata o:title=""/>
                <o:lock v:ext="edit" aspectratio="f"/>
              </v:line>
            </w:pict>
          </mc:Fallback>
        </mc:AlternateConten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重要提示</w:t>
      </w:r>
      <w:r>
        <w:rPr>
          <w:rFonts w:hint="eastAsia" w:ascii="方正仿宋_GB2312" w:hAnsi="方正仿宋_GB2312" w:eastAsia="方正仿宋_GB2312" w:cs="方正仿宋_GB2312"/>
          <w:b/>
          <w:bCs/>
          <w:spacing w:val="-5"/>
          <w:sz w:val="24"/>
          <w:szCs w:val="24"/>
          <w:lang w:val="en-US" w:eastAsia="en-US"/>
          <w14:textOutline w14:w="4358" w14:cap="sq" w14:cmpd="sng">
            <w14:solidFill>
              <w14:srgbClr w14:val="000000"/>
            </w14:solidFill>
            <w14:prstDash w14:val="solid"/>
            <w14:bevel/>
          </w14:textOutline>
        </w:rPr>
        <w:t>：产品安全和</w: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消费者权益</w:t>
      </w:r>
      <w:r>
        <w:rPr>
          <w:rFonts w:hint="eastAsia" w:ascii="方正仿宋_GB2312" w:hAnsi="方正仿宋_GB2312" w:eastAsia="方正仿宋_GB2312" w:cs="方正仿宋_GB2312"/>
          <w:b/>
          <w:bCs/>
          <w:spacing w:val="-5"/>
          <w:sz w:val="24"/>
          <w:szCs w:val="24"/>
          <w:lang w:val="en-US" w:eastAsia="en-US"/>
          <w14:textOutline w14:w="4358" w14:cap="sq" w14:cmpd="sng">
            <w14:solidFill>
              <w14:srgbClr w14:val="000000"/>
            </w14:solidFill>
            <w14:prstDash w14:val="solid"/>
            <w14:bevel/>
          </w14:textOutline>
        </w:rPr>
        <w:t>是白酒营销体系的主要风险</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产品安全和消费者权益是白酒营销体系中的关键风险领域，它们直接影响企业的信誉和市场表现。</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产品安全风险不仅涵盖了产品质量安全，确保白酒不含有害物质、符合食品安全标准，还包括了产品溯源体系的建立。产品溯源体系能够帮助企业追踪产品从原料到成品的全过程，确保在出现问题时能够及时召回，减少对消费者的影响，并维护企业声誉。忽视产品安全的企业可能会面临法律诉讼、品牌形象受损和市场份额下降等严重后果。</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消费者权益保护风险则涉及到消费者的多项权利。知情权要求企业提供全面、准确的产品信息，使消费者能够做出明智的购买决策。公平交易权和自主选择权保障消费者在购买过程中不受不公平对待，能够自由选择产品。安全保障权确保消费者使用产品时的人身和财产安全。依法求偿权允许消费者在权益受损时依法获得赔偿。受尊重权要求企业在营销活动中尊重消费者的人格尊严和隐私。监督批评权则赋予消费者对企业产品及服务提出意见和批评的权利。</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480" w:firstLineChars="20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为了降低这些风险，白酒企业应当建立健全的质量管理体系，实施严格的产品检验和监控流程，确保产品安全。同时，企业应当加强与消费者的沟通，提供透明的产品信息，建立公平的交易环境，提供优质的售后服务，并尊重消费者的合法权益。通过这些措施，企业不仅能够减少法律风险和财务损失，还能够提升消费者满意度，增强品牌忠诚度，从而在竞争激烈的市场中获得优势。</w:t>
      </w:r>
    </w:p>
    <w:p>
      <w:pPr>
        <w:keepNext w:val="0"/>
        <w:keepLines w:val="0"/>
        <w:pageBreakBefore w:val="0"/>
        <w:widowControl w:val="0"/>
        <w:kinsoku/>
        <w:wordWrap/>
        <w:overflowPunct/>
        <w:topLinePunct w:val="0"/>
        <w:autoSpaceDE/>
        <w:autoSpaceDN/>
        <w:bidi w:val="0"/>
        <w:adjustRightInd/>
        <w:snapToGrid/>
        <w:spacing w:before="179" w:line="400" w:lineRule="exact"/>
        <w:ind w:firstLine="480" w:firstLineChars="200"/>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方正仿宋_GB2312" w:hAnsi="方正仿宋_GB2312" w:eastAsia="方正仿宋_GB2312" w:cs="方正仿宋_GB2312"/>
          <w:sz w:val="24"/>
        </w:rPr>
        <mc:AlternateContent>
          <mc:Choice Requires="wps">
            <w:drawing>
              <wp:anchor distT="0" distB="0" distL="114300" distR="114300" simplePos="0" relativeHeight="251676672" behindDoc="0" locked="0" layoutInCell="1" allowOverlap="1">
                <wp:simplePos x="0" y="0"/>
                <wp:positionH relativeFrom="column">
                  <wp:posOffset>276225</wp:posOffset>
                </wp:positionH>
                <wp:positionV relativeFrom="paragraph">
                  <wp:posOffset>62865</wp:posOffset>
                </wp:positionV>
                <wp:extent cx="5262245" cy="0"/>
                <wp:effectExtent l="15875" t="15875" r="0" b="22225"/>
                <wp:wrapNone/>
                <wp:docPr id="1" name="直接连接符 1"/>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75pt;margin-top:4.95pt;height:0pt;width:414.35pt;z-index:251676672;mso-width-relative:page;mso-height-relative:page;" filled="f" stroked="t" coordsize="21600,21600" o:gfxdata="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d4kdo0wAAAAYBAAAP&#10;AAAAAAAAAAEAIAAAACIAAABkcnMvZG93bnJldi54bWxQSwECFAAUAAAACACHTuJAywcAkuQBAACb&#10;AwAADgAAAAAAAAABACAAAAAiAQAAZHJzL2Uyb0RvYy54bWxQSwUGAAAAAAYABgBZAQAAeAUAAAAA&#10;">
                <v:fill on="f" focussize="0,0"/>
                <v:stroke weight="2.5pt" color="#4874CB [3204]" joinstyle="round" dashstyle="1 1" endcap="round"/>
                <v:imagedata o:title=""/>
                <o:lock v:ext="edit" aspectratio="f"/>
              </v:line>
            </w:pict>
          </mc:Fallback>
        </mc:AlternateContent>
      </w:r>
      <w:r>
        <w:rPr>
          <w:rFonts w:hint="eastAsia" w:asciiTheme="minorEastAsia" w:hAnsiTheme="minorEastAsia" w:cstheme="minorEastAsia"/>
          <w:b w:val="0"/>
          <w:bCs w:val="0"/>
          <w:color w:val="auto"/>
          <w:kern w:val="0"/>
          <w:sz w:val="24"/>
          <w:szCs w:val="24"/>
          <w:lang w:val="en-US" w:eastAsia="zh-CN"/>
        </w:rPr>
        <w:t>除了产品安全和消费者权益保护风险之外，白酒企业在营销活动中还可能面临多种其他风险，这些风险同样对企业的发展和声誉产生重要影响。</w:t>
      </w:r>
      <w:r>
        <w:rPr>
          <w:rFonts w:hint="eastAsia" w:asciiTheme="minorEastAsia" w:hAnsiTheme="minorEastAsia" w:eastAsiaTheme="minorEastAsia" w:cstheme="minorEastAsia"/>
          <w:b w:val="0"/>
          <w:bCs w:val="0"/>
          <w:color w:val="auto"/>
          <w:kern w:val="0"/>
          <w:sz w:val="24"/>
          <w:szCs w:val="24"/>
          <w:lang w:val="en-US" w:eastAsia="zh-CN"/>
        </w:rPr>
        <w:t>白酒企业在识别</w:t>
      </w:r>
      <w:r>
        <w:rPr>
          <w:rFonts w:hint="eastAsia" w:asciiTheme="minorEastAsia" w:hAnsiTheme="minorEastAsia" w:cstheme="minorEastAsia"/>
          <w:b w:val="0"/>
          <w:bCs w:val="0"/>
          <w:color w:val="auto"/>
          <w:kern w:val="0"/>
          <w:sz w:val="24"/>
          <w:szCs w:val="24"/>
          <w:lang w:val="en-US" w:eastAsia="zh-CN"/>
        </w:rPr>
        <w:t>风险</w:t>
      </w:r>
      <w:r>
        <w:rPr>
          <w:rFonts w:hint="eastAsia" w:asciiTheme="minorEastAsia" w:hAnsiTheme="minorEastAsia" w:eastAsiaTheme="minorEastAsia" w:cstheme="minorEastAsia"/>
          <w:b w:val="0"/>
          <w:bCs w:val="0"/>
          <w:color w:val="auto"/>
          <w:kern w:val="0"/>
          <w:sz w:val="24"/>
          <w:szCs w:val="24"/>
          <w:lang w:val="en-US" w:eastAsia="zh-CN"/>
        </w:rPr>
        <w:t>的损害的过程中，可以参考表5-1</w:t>
      </w:r>
      <w:r>
        <w:rPr>
          <w:rFonts w:hint="eastAsia" w:asciiTheme="minorEastAsia" w:hAnsiTheme="minorEastAsia" w:cstheme="minorEastAsia"/>
          <w:b w:val="0"/>
          <w:bCs w:val="0"/>
          <w:color w:val="auto"/>
          <w:kern w:val="0"/>
          <w:sz w:val="24"/>
          <w:szCs w:val="24"/>
          <w:lang w:val="en-US" w:eastAsia="zh-CN"/>
        </w:rPr>
        <w:t>2</w:t>
      </w:r>
      <w:r>
        <w:rPr>
          <w:rFonts w:hint="eastAsia" w:asciiTheme="minorEastAsia" w:hAnsiTheme="minorEastAsia" w:eastAsiaTheme="minorEastAsia" w:cstheme="minorEastAsia"/>
          <w:b w:val="0"/>
          <w:bCs w:val="0"/>
          <w:color w:val="auto"/>
          <w:kern w:val="0"/>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en-US"/>
        </w:rPr>
        <w:t xml:space="preserve">表 </w:t>
      </w:r>
      <w:r>
        <w:rPr>
          <w:rFonts w:hint="eastAsia" w:ascii="方正仿宋_GB2312" w:hAnsi="方正仿宋_GB2312" w:eastAsia="方正仿宋_GB2312" w:cs="方正仿宋_GB2312"/>
          <w:b w:val="0"/>
          <w:bCs w:val="0"/>
          <w:color w:val="auto"/>
          <w:kern w:val="0"/>
          <w:sz w:val="24"/>
          <w:szCs w:val="24"/>
          <w:lang w:val="en-US" w:eastAsia="zh-CN"/>
        </w:rPr>
        <w:t>5</w:t>
      </w:r>
      <w:r>
        <w:rPr>
          <w:rFonts w:hint="eastAsia" w:ascii="方正仿宋_GB2312" w:hAnsi="方正仿宋_GB2312" w:eastAsia="方正仿宋_GB2312" w:cs="方正仿宋_GB2312"/>
          <w:b w:val="0"/>
          <w:bCs w:val="0"/>
          <w:color w:val="auto"/>
          <w:kern w:val="0"/>
          <w:sz w:val="24"/>
          <w:szCs w:val="24"/>
          <w:lang w:val="en-US" w:eastAsia="en-US"/>
        </w:rPr>
        <w:t>-</w:t>
      </w:r>
      <w:r>
        <w:rPr>
          <w:rFonts w:hint="eastAsia" w:ascii="方正仿宋_GB2312" w:hAnsi="方正仿宋_GB2312" w:eastAsia="方正仿宋_GB2312" w:cs="方正仿宋_GB2312"/>
          <w:b w:val="0"/>
          <w:bCs w:val="0"/>
          <w:color w:val="auto"/>
          <w:kern w:val="0"/>
          <w:sz w:val="24"/>
          <w:szCs w:val="24"/>
          <w:lang w:val="en-US" w:eastAsia="zh-CN"/>
        </w:rPr>
        <w:t>12</w:t>
      </w:r>
      <w:r>
        <w:rPr>
          <w:rFonts w:hint="eastAsia" w:ascii="方正仿宋_GB2312" w:hAnsi="方正仿宋_GB2312" w:eastAsia="方正仿宋_GB2312" w:cs="方正仿宋_GB2312"/>
          <w:b w:val="0"/>
          <w:bCs w:val="0"/>
          <w:color w:val="auto"/>
          <w:kern w:val="0"/>
          <w:sz w:val="24"/>
          <w:szCs w:val="24"/>
          <w:lang w:val="en-US" w:eastAsia="en-US"/>
        </w:rPr>
        <w:t>：</w:t>
      </w:r>
      <w:r>
        <w:rPr>
          <w:rFonts w:hint="eastAsia" w:ascii="方正仿宋_GB2312" w:hAnsi="方正仿宋_GB2312" w:eastAsia="方正仿宋_GB2312" w:cs="方正仿宋_GB2312"/>
          <w:b w:val="0"/>
          <w:bCs w:val="0"/>
          <w:color w:val="auto"/>
          <w:kern w:val="0"/>
          <w:sz w:val="24"/>
          <w:szCs w:val="24"/>
          <w:lang w:val="en-US" w:eastAsia="zh-CN"/>
        </w:rPr>
        <w:t>白酒</w:t>
      </w:r>
      <w:r>
        <w:rPr>
          <w:rFonts w:hint="eastAsia" w:ascii="方正仿宋_GB2312" w:hAnsi="方正仿宋_GB2312" w:eastAsia="方正仿宋_GB2312" w:cs="方正仿宋_GB2312"/>
          <w:b w:val="0"/>
          <w:bCs w:val="0"/>
          <w:color w:val="auto"/>
          <w:kern w:val="0"/>
          <w:sz w:val="24"/>
          <w:szCs w:val="24"/>
          <w:lang w:val="en-US" w:eastAsia="en-US"/>
        </w:rPr>
        <w:t>企业</w:t>
      </w:r>
      <w:r>
        <w:rPr>
          <w:rFonts w:hint="eastAsia" w:ascii="方正仿宋_GB2312" w:hAnsi="方正仿宋_GB2312" w:eastAsia="方正仿宋_GB2312" w:cs="方正仿宋_GB2312"/>
          <w:b w:val="0"/>
          <w:bCs w:val="0"/>
          <w:color w:val="auto"/>
          <w:kern w:val="0"/>
          <w:sz w:val="24"/>
          <w:szCs w:val="24"/>
          <w:lang w:val="en-US" w:eastAsia="zh-CN"/>
        </w:rPr>
        <w:t>评估营销过程中的风险类型</w:t>
      </w:r>
    </w:p>
    <w:tbl>
      <w:tblPr>
        <w:tblStyle w:val="8"/>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5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color w:val="auto"/>
                <w:sz w:val="24"/>
                <w:szCs w:val="24"/>
                <w:vertAlign w:val="baseline"/>
                <w:lang w:eastAsia="zh-CN"/>
              </w:rPr>
            </w:pPr>
            <w:r>
              <w:rPr>
                <w:rFonts w:hint="eastAsia" w:ascii="方正仿宋_GB2312" w:hAnsi="方正仿宋_GB2312" w:eastAsia="方正仿宋_GB2312" w:cs="方正仿宋_GB2312"/>
                <w:b w:val="0"/>
                <w:bCs w:val="0"/>
                <w:color w:val="auto"/>
                <w:kern w:val="0"/>
                <w:sz w:val="24"/>
                <w:szCs w:val="24"/>
                <w:lang w:val="en-US" w:eastAsia="en-US"/>
              </w:rPr>
              <w:t>风险</w:t>
            </w:r>
            <w:r>
              <w:rPr>
                <w:rFonts w:hint="eastAsia" w:ascii="方正仿宋_GB2312" w:hAnsi="方正仿宋_GB2312" w:eastAsia="方正仿宋_GB2312" w:cs="方正仿宋_GB2312"/>
                <w:b w:val="0"/>
                <w:bCs w:val="0"/>
                <w:color w:val="auto"/>
                <w:kern w:val="0"/>
                <w:sz w:val="24"/>
                <w:szCs w:val="24"/>
                <w:lang w:val="en-US" w:eastAsia="zh-CN"/>
              </w:rPr>
              <w:t>类型</w:t>
            </w:r>
          </w:p>
        </w:tc>
        <w:tc>
          <w:tcPr>
            <w:tcW w:w="5764" w:type="dxa"/>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color w:val="auto"/>
                <w:sz w:val="24"/>
                <w:szCs w:val="24"/>
                <w:vertAlign w:val="baseline"/>
                <w:lang w:val="en-US"/>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企业风险因素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left="0"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产品安全风险</w:t>
            </w:r>
          </w:p>
          <w:p>
            <w:pPr>
              <w:keepNext w:val="0"/>
              <w:keepLines w:val="0"/>
              <w:pageBreakBefore w:val="0"/>
              <w:widowControl w:val="0"/>
              <w:kinsoku/>
              <w:wordWrap/>
              <w:overflowPunct/>
              <w:topLinePunct w:val="0"/>
              <w:autoSpaceDE/>
              <w:autoSpaceDN/>
              <w:bidi w:val="0"/>
              <w:adjustRightInd/>
              <w:snapToGrid/>
              <w:spacing w:afterAutospacing="0" w:line="440" w:lineRule="exact"/>
              <w:ind w:left="0" w:leftChars="0"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en-US"/>
              </w:rPr>
            </w:pPr>
            <w:r>
              <w:rPr>
                <w:rFonts w:hint="eastAsia" w:ascii="方正仿宋_GB2312" w:hAnsi="方正仿宋_GB2312" w:eastAsia="方正仿宋_GB2312" w:cs="方正仿宋_GB2312"/>
                <w:b w:val="0"/>
                <w:bCs w:val="0"/>
                <w:color w:val="auto"/>
                <w:kern w:val="0"/>
                <w:sz w:val="24"/>
                <w:szCs w:val="24"/>
                <w:lang w:val="en-US" w:eastAsia="zh-CN"/>
              </w:rPr>
              <w:t>市场窜货风险</w:t>
            </w:r>
          </w:p>
        </w:tc>
        <w:tc>
          <w:tcPr>
            <w:tcW w:w="5764"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●产品质量安全</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●产品溯源体系</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leftChars="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en-US"/>
              </w:rPr>
            </w:pPr>
            <w:r>
              <w:rPr>
                <w:rFonts w:hint="eastAsia" w:ascii="方正仿宋_GB2312" w:hAnsi="方正仿宋_GB2312" w:eastAsia="方正仿宋_GB2312" w:cs="方正仿宋_GB2312"/>
                <w:b w:val="0"/>
                <w:bCs w:val="0"/>
                <w:color w:val="auto"/>
                <w:kern w:val="0"/>
                <w:sz w:val="24"/>
                <w:szCs w:val="24"/>
                <w:lang w:val="en-US" w:eastAsia="zh-CN"/>
              </w:rPr>
              <w:t>●产销监管链体系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left="0" w:leftChars="0"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仓储风险</w:t>
            </w:r>
          </w:p>
        </w:tc>
        <w:tc>
          <w:tcPr>
            <w:tcW w:w="5764"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●火灾和爆炸</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leftChars="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●设备安全隐患</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leftChars="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●员工操作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物流风险</w:t>
            </w:r>
          </w:p>
        </w:tc>
        <w:tc>
          <w:tcPr>
            <w:tcW w:w="5764"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●物流运输安全</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●物流信息透明度</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●物流成本控制</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en-US"/>
              </w:rPr>
            </w:pPr>
            <w:r>
              <w:rPr>
                <w:rFonts w:hint="eastAsia" w:ascii="方正仿宋_GB2312" w:hAnsi="方正仿宋_GB2312" w:eastAsia="方正仿宋_GB2312" w:cs="方正仿宋_GB2312"/>
                <w:b w:val="0"/>
                <w:bCs w:val="0"/>
                <w:color w:val="auto"/>
                <w:kern w:val="0"/>
                <w:sz w:val="24"/>
                <w:szCs w:val="24"/>
                <w:lang w:val="en-US" w:eastAsia="zh-CN"/>
              </w:rPr>
              <w:t>●物流时间控制</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●物流风险防控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color w:val="auto"/>
                <w:sz w:val="24"/>
                <w:szCs w:val="24"/>
                <w:vertAlign w:val="baseline"/>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营销审计风险</w:t>
            </w:r>
          </w:p>
        </w:tc>
        <w:tc>
          <w:tcPr>
            <w:tcW w:w="5764"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●营销策略合理性</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●营销费用控制</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●销售渠道管理</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color w:val="auto"/>
                <w:sz w:val="24"/>
                <w:szCs w:val="24"/>
                <w:vertAlign w:val="baseline"/>
              </w:rPr>
            </w:pPr>
            <w:r>
              <w:rPr>
                <w:rFonts w:hint="eastAsia" w:ascii="方正仿宋_GB2312" w:hAnsi="方正仿宋_GB2312" w:eastAsia="方正仿宋_GB2312" w:cs="方正仿宋_GB2312"/>
                <w:b w:val="0"/>
                <w:bCs w:val="0"/>
                <w:color w:val="auto"/>
                <w:kern w:val="0"/>
                <w:sz w:val="24"/>
                <w:szCs w:val="24"/>
                <w:lang w:val="en-US" w:eastAsia="zh-CN"/>
              </w:rPr>
              <w:t>●法律法规合规性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color w:val="auto"/>
                <w:sz w:val="24"/>
                <w:szCs w:val="24"/>
                <w:vertAlign w:val="baseline"/>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客户管理风险</w:t>
            </w:r>
          </w:p>
        </w:tc>
        <w:tc>
          <w:tcPr>
            <w:tcW w:w="5764"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●客户信息保护</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●客户服务质量</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●客户关系维护</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en-US"/>
              </w:rPr>
            </w:pPr>
            <w:r>
              <w:rPr>
                <w:rFonts w:hint="eastAsia" w:ascii="方正仿宋_GB2312" w:hAnsi="方正仿宋_GB2312" w:eastAsia="方正仿宋_GB2312" w:cs="方正仿宋_GB2312"/>
                <w:b w:val="0"/>
                <w:bCs w:val="0"/>
                <w:color w:val="auto"/>
                <w:kern w:val="0"/>
                <w:sz w:val="24"/>
                <w:szCs w:val="24"/>
                <w:lang w:val="en-US" w:eastAsia="zh-CN"/>
              </w:rPr>
              <w:t>●客户信用管理</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color w:val="auto"/>
                <w:sz w:val="24"/>
                <w:szCs w:val="24"/>
                <w:vertAlign w:val="baseline"/>
              </w:rPr>
            </w:pPr>
            <w:r>
              <w:rPr>
                <w:rFonts w:hint="eastAsia" w:ascii="方正仿宋_GB2312" w:hAnsi="方正仿宋_GB2312" w:eastAsia="方正仿宋_GB2312" w:cs="方正仿宋_GB2312"/>
                <w:b w:val="0"/>
                <w:bCs w:val="0"/>
                <w:color w:val="auto"/>
                <w:kern w:val="0"/>
                <w:sz w:val="24"/>
                <w:szCs w:val="24"/>
                <w:lang w:val="en-US" w:eastAsia="zh-CN"/>
              </w:rPr>
              <w:t>●市场竞争风险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营销数据安全风险</w:t>
            </w:r>
          </w:p>
        </w:tc>
        <w:tc>
          <w:tcPr>
            <w:tcW w:w="5764"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●数据泄露</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●数据完整性</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●数据访问权限</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en-US"/>
              </w:rPr>
            </w:pPr>
            <w:r>
              <w:rPr>
                <w:rFonts w:hint="eastAsia" w:ascii="方正仿宋_GB2312" w:hAnsi="方正仿宋_GB2312" w:eastAsia="方正仿宋_GB2312" w:cs="方正仿宋_GB2312"/>
                <w:b w:val="0"/>
                <w:bCs w:val="0"/>
                <w:color w:val="auto"/>
                <w:kern w:val="0"/>
                <w:sz w:val="24"/>
                <w:szCs w:val="24"/>
                <w:lang w:val="en-US" w:eastAsia="zh-CN"/>
              </w:rPr>
              <w:t>●数据丢失</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●数据安全合规性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销售管理风险</w:t>
            </w:r>
          </w:p>
        </w:tc>
        <w:tc>
          <w:tcPr>
            <w:tcW w:w="5764"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●销售策略制定</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●销售渠道拓展</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●销售费用控制</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●销售团队管理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售后风险</w:t>
            </w:r>
          </w:p>
        </w:tc>
        <w:tc>
          <w:tcPr>
            <w:tcW w:w="5764"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●售后服务质量</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●售后服务响应速度</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●售后服务成本控制</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●售后服务流程管理</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●售后服务人员素质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消费者权益保护风险</w:t>
            </w:r>
          </w:p>
        </w:tc>
        <w:tc>
          <w:tcPr>
            <w:tcW w:w="5764"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●知情权</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●公平交易权</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●自主选择权</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●安全保障权</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●依法求偿权</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●受尊重权</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●监督批评权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5"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企业社会责任风险</w:t>
            </w:r>
          </w:p>
        </w:tc>
        <w:tc>
          <w:tcPr>
            <w:tcW w:w="5764"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●理性饮酒宣传</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●环境保护</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●公平竞争</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●未成年人保护</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●社区参与与发展</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●员工权益保障</w:t>
            </w:r>
          </w:p>
        </w:tc>
      </w:tr>
    </w:tbl>
    <w:p>
      <w:pPr>
        <w:keepNext w:val="0"/>
        <w:keepLines w:val="0"/>
        <w:pageBreakBefore w:val="0"/>
        <w:widowControl w:val="0"/>
        <w:kinsoku/>
        <w:wordWrap/>
        <w:overflowPunct/>
        <w:topLinePunct w:val="0"/>
        <w:autoSpaceDE/>
        <w:autoSpaceDN/>
        <w:bidi w:val="0"/>
        <w:adjustRightInd/>
        <w:snapToGrid/>
        <w:spacing w:afterAutospacing="0" w:line="440" w:lineRule="exact"/>
        <w:ind w:right="0" w:firstLine="482" w:firstLineChars="200"/>
        <w:textAlignment w:val="auto"/>
        <w:rPr>
          <w:rFonts w:hint="eastAsia" w:asciiTheme="minorEastAsia" w:hAnsiTheme="minorEastAsia" w:cstheme="minorEastAsia"/>
          <w:b/>
          <w:bCs/>
          <w:color w:val="auto"/>
          <w:kern w:val="0"/>
          <w:sz w:val="24"/>
          <w:szCs w:val="24"/>
          <w:lang w:val="en-US" w:eastAsia="zh-CN" w:bidi="ar-SA"/>
        </w:rPr>
      </w:pPr>
      <w:r>
        <w:rPr>
          <w:rFonts w:hint="eastAsia" w:asciiTheme="minorEastAsia" w:hAnsiTheme="minorEastAsia" w:cstheme="minorEastAsia"/>
          <w:b/>
          <w:bCs/>
          <w:color w:val="auto"/>
          <w:kern w:val="0"/>
          <w:sz w:val="24"/>
          <w:szCs w:val="24"/>
          <w:lang w:val="en-US" w:eastAsia="zh-CN" w:bidi="ar-SA"/>
        </w:rPr>
        <w:t>实用行动</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40" w:after="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识别白酒企业营销活动中的产品安全风险，需通过供应链审查、生产监控、定期产品检测、合规标签审查和风险评估。而市场窜货风险的识别则依赖于渠道管理、价格监测、经销商协议执行、市场调研和产品追踪系统。这些措施有助于及时发现并防范潜在风险，确保营销活动的合规性和产品安全。</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40" w:after="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●识别白酒企业营销活动中的仓储风险，主要通过评估仓库的物理条件、存储管理、库存控制系统</w:t>
      </w:r>
      <w:r>
        <w:rPr>
          <w:rFonts w:hint="eastAsia" w:asciiTheme="minorEastAsia" w:hAnsiTheme="minorEastAsia" w:cstheme="minorEastAsia"/>
          <w:b w:val="0"/>
          <w:bCs w:val="0"/>
          <w:color w:val="auto"/>
          <w:kern w:val="0"/>
          <w:sz w:val="24"/>
          <w:szCs w:val="24"/>
          <w:lang w:val="en-US" w:eastAsia="zh-CN"/>
        </w:rPr>
        <w:t>、安全隐患排查、员工操作和</w:t>
      </w:r>
      <w:r>
        <w:rPr>
          <w:rFonts w:hint="eastAsia" w:asciiTheme="minorEastAsia" w:hAnsiTheme="minorEastAsia" w:eastAsiaTheme="minorEastAsia" w:cstheme="minorEastAsia"/>
          <w:b w:val="0"/>
          <w:bCs w:val="0"/>
          <w:color w:val="auto"/>
          <w:kern w:val="0"/>
          <w:sz w:val="24"/>
          <w:szCs w:val="24"/>
          <w:lang w:val="en-US" w:eastAsia="zh-CN"/>
        </w:rPr>
        <w:t>应急准备。检查仓库是否具备适宜的温湿度控制、防火防灾设施，确保库存准确无误。同时，评估库存周转效率，防止过期积压。此外，制定应急预案，以应对自然灾害、设备故障等不可预见事件，确保仓储环节的安全性和可靠性。</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40" w:after="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识别白酒企业营销活动中的物流风险，需关注运输过程中的货物损坏、延误、丢失以及安全问题。通过审查物流合作伙伴的信誉和服务质量，确保运输工具的适航性和安全性。实施货物追踪系统以实时监控物流状态，制定应急计划应对可能的物流中断。同时，确保合规的包装和标签，以适应不同运输方式的要求，减少运输途中的风险。</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40" w:after="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●识别白酒企业营销活动中的营销审计风险，需要对营销策略的</w:t>
      </w:r>
      <w:r>
        <w:rPr>
          <w:rFonts w:hint="eastAsia" w:asciiTheme="minorEastAsia" w:hAnsiTheme="minorEastAsia" w:cstheme="minorEastAsia"/>
          <w:b w:val="0"/>
          <w:bCs w:val="0"/>
          <w:color w:val="auto"/>
          <w:kern w:val="0"/>
          <w:sz w:val="24"/>
          <w:szCs w:val="24"/>
          <w:lang w:val="en-US" w:eastAsia="zh-CN"/>
        </w:rPr>
        <w:t>合理性</w:t>
      </w:r>
      <w:r>
        <w:rPr>
          <w:rFonts w:hint="eastAsia" w:asciiTheme="minorEastAsia" w:hAnsiTheme="minorEastAsia" w:eastAsiaTheme="minorEastAsia" w:cstheme="minorEastAsia"/>
          <w:b w:val="0"/>
          <w:bCs w:val="0"/>
          <w:color w:val="auto"/>
          <w:kern w:val="0"/>
          <w:sz w:val="24"/>
          <w:szCs w:val="24"/>
          <w:lang w:val="en-US" w:eastAsia="zh-CN"/>
        </w:rPr>
        <w:t>进行定期审查，包括广告合规性、促销活动的效果评估以及销售数据的真实性验证。同时，审计营销预算的使用效率，确保资金投入与预期回报相符。</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40" w:after="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识别白酒企业营销活动中的客户管理风险，需通过分析客户数据的完整性、准确性和安全性，确保客户信息得到妥善保护。评估客户满意度和忠诚度，通过有效的沟通渠道及时响应客户需求和反馈。监控客户流失率，分析原因并制定改进措施。同时，确保客户服务流程的高效性和响应性，以及客户隐私政策的透明度和合规性，从而降低客户关系管理过程中的潜在风险。</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40" w:after="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识别白酒企业营销活动中的营销数据安全风险，需要对收集、存储和处理消费者数据的系统进行全面审查。确保数据加密、访问控制和网络安全措施到位，防止未授权访问和数据泄露。定期进行数据安全培训，提高员工对保护客户信息重要性的认识。实施数据备份和恢复计划，以应对潜在的网络攻击或系统故障。同时，遵守相关的数据保护法规，确保营销活动的合规性。</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40" w:after="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●识别白酒企业营销活动中的销售管理风险，需评估销售</w:t>
      </w:r>
      <w:r>
        <w:rPr>
          <w:rFonts w:hint="eastAsia" w:asciiTheme="minorEastAsia" w:hAnsiTheme="minorEastAsia" w:cstheme="minorEastAsia"/>
          <w:b w:val="0"/>
          <w:bCs w:val="0"/>
          <w:color w:val="auto"/>
          <w:kern w:val="0"/>
          <w:sz w:val="24"/>
          <w:szCs w:val="24"/>
          <w:lang w:val="en-US" w:eastAsia="zh-CN"/>
        </w:rPr>
        <w:t>策略的制定</w:t>
      </w:r>
      <w:r>
        <w:rPr>
          <w:rFonts w:hint="eastAsia" w:asciiTheme="minorEastAsia" w:hAnsiTheme="minorEastAsia" w:eastAsiaTheme="minorEastAsia" w:cstheme="minorEastAsia"/>
          <w:b w:val="0"/>
          <w:bCs w:val="0"/>
          <w:color w:val="auto"/>
          <w:kern w:val="0"/>
          <w:sz w:val="24"/>
          <w:szCs w:val="24"/>
          <w:lang w:val="en-US" w:eastAsia="zh-CN"/>
        </w:rPr>
        <w:t>、销售流程的效率以及客户关系管理的有效性。审查销售目标设定的合理性、销售策略的执行情况和市场反馈的响应机制。确保销售数据的准确性和透明度，防止误导性销售或不正当竞争行为。同时，监控销售渠道的合规性，防止市场窜货，确保销售活动的稳健运行。</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40" w:after="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auto"/>
          <w:kern w:val="0"/>
          <w:sz w:val="24"/>
          <w:szCs w:val="24"/>
          <w:lang w:val="en-US" w:eastAsia="zh-CN"/>
        </w:rPr>
        <w:t>●识别白酒企业营销活动中的售后风险，应通过监控售后服务流程，评估客户投诉处理效率和满意度。检查产品退换货政策的合理性和执行情况，确保快速响应消费者需求。分析产品召回和维修记录，识别潜在的产品缺陷或服务不足。加强员工售后培训，提升服务质量。同时，建立风险预警系统，对市场反馈进行实时监控，以便及时发现并解决可能的售后问题。</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40" w:after="0" w:line="440" w:lineRule="exact"/>
        <w:ind w:leftChars="0" w:right="0" w:righ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rPr>
      </w:pPr>
      <w:bookmarkStart w:id="108" w:name="_Toc19928"/>
      <w:bookmarkStart w:id="109" w:name="_Toc32111"/>
      <w:r>
        <w:rPr>
          <w:rFonts w:hint="eastAsia" w:asciiTheme="minorEastAsia" w:hAnsiTheme="minorEastAsia" w:eastAsiaTheme="minorEastAsia" w:cstheme="minorEastAsia"/>
          <w:b w:val="0"/>
          <w:bCs w:val="0"/>
          <w:color w:val="auto"/>
          <w:kern w:val="0"/>
          <w:sz w:val="24"/>
          <w:szCs w:val="24"/>
          <w:lang w:val="en-US" w:eastAsia="zh-CN"/>
        </w:rPr>
        <w:t>●识别白酒企业营销活动中的消费者权益保护风险，需关注消费者的知情权、公平交易权、自主选择权等。建立有效的消费者投诉和建议反馈机制，及时解决消费者问题。监控售后服务流程，确保满足退换货、维修等消费者权益。同时，遵守数据保护法规，保障消费者个人信息安全，避免侵犯消费者隐私权。</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sz w:val="24"/>
          <w:szCs w:val="24"/>
          <w:lang w:val="en-US" w:eastAsia="zh-CN"/>
        </w:rPr>
      </w:pPr>
      <w:r>
        <w:rPr>
          <w:rFonts w:hint="eastAsia" w:asciiTheme="minorEastAsia" w:hAnsiTheme="minorEastAsia" w:eastAsiaTheme="minorEastAsia" w:cstheme="minorEastAsia"/>
          <w:b w:val="0"/>
          <w:bCs w:val="0"/>
          <w:color w:val="auto"/>
          <w:kern w:val="0"/>
          <w:sz w:val="24"/>
          <w:szCs w:val="24"/>
          <w:lang w:val="en-US" w:eastAsia="zh-CN"/>
        </w:rPr>
        <w:t>●识别白酒企业营销活动中的企业社会责任风险，需评估企业是否遵守环保法规、是否促进健康饮酒文化、是否维护公平竞争环境。检查企业在生产过程中是否有节能减排措施，产品包装是否环保。确保营销活动不鼓励未成年人饮酒，广告内容不传播不良信息。同时，企业应</w:t>
      </w:r>
      <w:r>
        <w:rPr>
          <w:rFonts w:hint="eastAsia" w:asciiTheme="minorEastAsia" w:hAnsiTheme="minorEastAsia" w:cstheme="minorEastAsia"/>
          <w:b w:val="0"/>
          <w:bCs w:val="0"/>
          <w:color w:val="auto"/>
          <w:kern w:val="0"/>
          <w:sz w:val="24"/>
          <w:szCs w:val="24"/>
          <w:lang w:val="en-US" w:eastAsia="zh-CN"/>
        </w:rPr>
        <w:t>注重员工权益保障并</w:t>
      </w:r>
      <w:r>
        <w:rPr>
          <w:rFonts w:hint="eastAsia" w:asciiTheme="minorEastAsia" w:hAnsiTheme="minorEastAsia" w:eastAsiaTheme="minorEastAsia" w:cstheme="minorEastAsia"/>
          <w:b w:val="0"/>
          <w:bCs w:val="0"/>
          <w:color w:val="auto"/>
          <w:kern w:val="0"/>
          <w:sz w:val="24"/>
          <w:szCs w:val="24"/>
          <w:lang w:val="en-US" w:eastAsia="zh-CN"/>
        </w:rPr>
        <w:t>积极参与社会公益活动，提升品牌形象，展现其对社会贡献和责任。</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黑体" w:hAnsi="黑体" w:eastAsia="黑体" w:cs="黑体"/>
          <w:sz w:val="28"/>
          <w:szCs w:val="28"/>
          <w:lang w:val="en-US" w:eastAsia="zh-CN"/>
        </w:rPr>
      </w:pPr>
      <w:bookmarkStart w:id="110" w:name="_Toc16181"/>
      <w:r>
        <w:rPr>
          <w:rFonts w:hint="eastAsia" w:ascii="黑体" w:hAnsi="黑体" w:eastAsia="黑体" w:cs="黑体"/>
          <w:sz w:val="28"/>
          <w:szCs w:val="28"/>
          <w:lang w:val="en-US" w:eastAsia="zh-CN"/>
        </w:rPr>
        <w:fldChar w:fldCharType="begin"/>
      </w:r>
      <w:r>
        <w:rPr>
          <w:rFonts w:hint="eastAsia" w:ascii="黑体" w:hAnsi="黑体" w:eastAsia="黑体" w:cs="黑体"/>
          <w:sz w:val="28"/>
          <w:szCs w:val="28"/>
          <w:lang w:val="en-US" w:eastAsia="zh-CN"/>
        </w:rPr>
        <w:instrText xml:space="preserve"> HYPERLINK \l _Toc6771 </w:instrText>
      </w:r>
      <w:r>
        <w:rPr>
          <w:rFonts w:hint="eastAsia" w:ascii="黑体" w:hAnsi="黑体" w:eastAsia="黑体" w:cs="黑体"/>
          <w:sz w:val="28"/>
          <w:szCs w:val="28"/>
          <w:lang w:val="en-US" w:eastAsia="zh-CN"/>
        </w:rPr>
        <w:fldChar w:fldCharType="separate"/>
      </w:r>
      <w:r>
        <w:rPr>
          <w:rFonts w:hint="eastAsia" w:ascii="黑体" w:hAnsi="黑体" w:eastAsia="黑体" w:cs="黑体"/>
          <w:sz w:val="28"/>
          <w:szCs w:val="28"/>
          <w:lang w:val="en-US" w:eastAsia="zh-CN"/>
        </w:rPr>
        <w:t>5.3.3</w:t>
      </w:r>
      <w:r>
        <w:rPr>
          <w:rFonts w:hint="eastAsia" w:ascii="黑体" w:hAnsi="黑体" w:eastAsia="黑体" w:cs="黑体"/>
          <w:sz w:val="28"/>
          <w:szCs w:val="28"/>
        </w:rPr>
        <w:t>终止、防范或减轻</w:t>
      </w:r>
      <w:r>
        <w:rPr>
          <w:rFonts w:hint="eastAsia" w:ascii="黑体" w:hAnsi="黑体" w:eastAsia="黑体" w:cs="黑体"/>
          <w:sz w:val="28"/>
          <w:szCs w:val="28"/>
          <w:lang w:eastAsia="zh-CN"/>
        </w:rPr>
        <w:t>风险</w:t>
      </w:r>
      <w:r>
        <w:rPr>
          <w:rFonts w:hint="eastAsia" w:ascii="黑体" w:hAnsi="黑体" w:eastAsia="黑体" w:cs="黑体"/>
          <w:sz w:val="28"/>
          <w:szCs w:val="28"/>
          <w:lang w:val="en-US" w:eastAsia="zh-CN"/>
        </w:rPr>
        <w:fldChar w:fldCharType="end"/>
      </w:r>
      <w:bookmarkEnd w:id="108"/>
      <w:bookmarkEnd w:id="109"/>
      <w:bookmarkEnd w:id="110"/>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方正公文黑体" w:hAnsi="方正公文黑体" w:eastAsia="方正公文黑体" w:cs="方正公文黑体"/>
          <w:sz w:val="28"/>
          <w:szCs w:val="28"/>
          <w:lang w:val="en-US" w:eastAsia="zh-CN"/>
        </w:rPr>
      </w:pPr>
      <w:r>
        <w:rPr>
          <w:rFonts w:hint="eastAsia" w:asciiTheme="minorEastAsia" w:hAnsiTheme="minorEastAsia" w:eastAsiaTheme="minorEastAsia" w:cstheme="minorEastAsia"/>
          <w:b w:val="0"/>
          <w:bCs w:val="0"/>
          <w:color w:val="auto"/>
          <w:kern w:val="0"/>
          <w:sz w:val="24"/>
          <w:szCs w:val="24"/>
          <w:lang w:val="en-US" w:eastAsia="zh-CN"/>
        </w:rPr>
        <w:t>企业在白酒营销尽责管理过程中</w:t>
      </w:r>
      <w:r>
        <w:rPr>
          <w:rFonts w:hint="eastAsia" w:asciiTheme="minorEastAsia" w:hAnsiTheme="minorEastAsia" w:cstheme="minorEastAsia"/>
          <w:b w:val="0"/>
          <w:bCs w:val="0"/>
          <w:color w:val="auto"/>
          <w:kern w:val="0"/>
          <w:sz w:val="24"/>
          <w:szCs w:val="24"/>
          <w:lang w:val="en-US" w:eastAsia="zh-CN"/>
        </w:rPr>
        <w:t>应基于自身对风险的评估，停止开展正在对营销活动有不利影响的活动，制定并实施量身定制的计划，以防范与减轻潜在不利影响。</w:t>
      </w:r>
    </w:p>
    <w:p>
      <w:pPr>
        <w:keepNext w:val="0"/>
        <w:keepLines w:val="0"/>
        <w:pageBreakBefore w:val="0"/>
        <w:widowControl w:val="0"/>
        <w:kinsoku/>
        <w:wordWrap/>
        <w:overflowPunct/>
        <w:topLinePunct w:val="0"/>
        <w:autoSpaceDE/>
        <w:autoSpaceDN/>
        <w:bidi w:val="0"/>
        <w:adjustRightInd/>
        <w:snapToGrid/>
        <w:spacing w:before="179" w:line="400" w:lineRule="exact"/>
        <w:ind w:firstLine="482" w:firstLineChars="200"/>
        <w:textAlignment w:val="auto"/>
        <w:rPr>
          <w:rFonts w:hint="eastAsia" w:ascii="方正仿宋_GB2312" w:hAnsi="方正仿宋_GB2312" w:eastAsia="方正仿宋_GB2312" w:cs="方正仿宋_GB2312"/>
          <w:b/>
          <w:bCs/>
          <w:color w:val="FF0000"/>
          <w:spacing w:val="-5"/>
          <w:sz w:val="24"/>
          <w:szCs w:val="24"/>
          <w:lang w:val="en-US" w:eastAsia="zh-CN"/>
          <w14:textOutline w14:w="4358" w14:cap="sq" w14:cmpd="sng">
            <w14:solidFill>
              <w14:srgbClr w14:val="000000"/>
            </w14:solidFill>
            <w14:prstDash w14:val="solid"/>
            <w14:bevel/>
          </w14:textOutline>
        </w:rPr>
      </w:pPr>
      <w:r>
        <w:rPr>
          <w:rFonts w:hint="eastAsia" w:ascii="方正仿宋_GB2312" w:hAnsi="方正仿宋_GB2312" w:eastAsia="方正仿宋_GB2312" w:cs="方正仿宋_GB2312"/>
          <w:b/>
          <w:bCs/>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z w:val="24"/>
        </w:rPr>
        <mc:AlternateContent>
          <mc:Choice Requires="wps">
            <w:drawing>
              <wp:anchor distT="0" distB="0" distL="114300" distR="114300" simplePos="0" relativeHeight="251677696" behindDoc="0" locked="0" layoutInCell="1" allowOverlap="1">
                <wp:simplePos x="0" y="0"/>
                <wp:positionH relativeFrom="column">
                  <wp:posOffset>276225</wp:posOffset>
                </wp:positionH>
                <wp:positionV relativeFrom="paragraph">
                  <wp:posOffset>62865</wp:posOffset>
                </wp:positionV>
                <wp:extent cx="5262245" cy="0"/>
                <wp:effectExtent l="15875" t="15875" r="0" b="22225"/>
                <wp:wrapNone/>
                <wp:docPr id="43" name="直接连接符 43"/>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75pt;margin-top:4.95pt;height:0pt;width:414.35pt;z-index:251677696;mso-width-relative:page;mso-height-relative:page;" filled="f" stroked="t" coordsize="21600,21600" o:gfxdata="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3iR2jTAAAABgEA&#10;AA8AAAAAAAAAAQAgAAAAIgAAAGRycy9kb3ducmV2LnhtbFBLAQIUABQAAAAIAIdO4kA7gOCf5gEA&#10;AJ0DAAAOAAAAAAAAAAEAIAAAACIBAABkcnMvZTJvRG9jLnhtbFBLBQYAAAAABgAGAFkBAAB6BQAA&#10;AAA=&#10;">
                <v:fill on="f" focussize="0,0"/>
                <v:stroke weight="2.5pt" color="#4874CB [3204]" joinstyle="round" dashstyle="1 1" endcap="round"/>
                <v:imagedata o:title=""/>
                <o:lock v:ext="edit" aspectratio="f"/>
              </v:line>
            </w:pict>
          </mc:Fallback>
        </mc:AlternateConten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重要提示</w:t>
      </w:r>
      <w:r>
        <w:rPr>
          <w:rFonts w:hint="eastAsia" w:ascii="方正仿宋_GB2312" w:hAnsi="方正仿宋_GB2312" w:eastAsia="方正仿宋_GB2312" w:cs="方正仿宋_GB2312"/>
          <w:b/>
          <w:bCs/>
          <w:spacing w:val="-5"/>
          <w:sz w:val="24"/>
          <w:szCs w:val="24"/>
          <w:lang w:val="en-US" w:eastAsia="en-US"/>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制定和实施行动改进计划是终止、预防或缓解风险的方法</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制定和实施行动改进计划是管理营销风险的关键策略。针对不同风险，如产品安全风险，企业需加强质量控制和产品追溯体系；对于市场窜货风险，则需强化渠道管理和监控。每个风险点都应有专门的预防措施，如定期培训员工、更新安全标准、实施合规审查等。此外，建立风险评估和监控机制，持续跟踪改进效果，确保风险管理措施的有效性，从而在根本上减少风险发生的可能性或减轻其影响。</w:t>
      </w:r>
    </w:p>
    <w:p>
      <w:pPr>
        <w:keepNext w:val="0"/>
        <w:keepLines w:val="0"/>
        <w:pageBreakBefore w:val="0"/>
        <w:widowControl w:val="0"/>
        <w:kinsoku/>
        <w:wordWrap/>
        <w:overflowPunct/>
        <w:topLinePunct w:val="0"/>
        <w:autoSpaceDE/>
        <w:autoSpaceDN/>
        <w:bidi w:val="0"/>
        <w:adjustRightInd/>
        <w:snapToGrid/>
        <w:spacing w:before="179" w:line="400" w:lineRule="exact"/>
        <w:ind w:firstLine="480" w:firstLineChars="200"/>
        <w:textAlignment w:val="auto"/>
        <w:rPr>
          <w:rFonts w:hint="eastAsia" w:asciiTheme="minorEastAsia" w:hAnsiTheme="minorEastAsia" w:eastAsiaTheme="minorEastAsia" w:cstheme="minorEastAsia"/>
          <w:b w:val="0"/>
          <w:bCs w:val="0"/>
          <w:color w:val="auto"/>
          <w:kern w:val="0"/>
          <w:sz w:val="24"/>
          <w:szCs w:val="24"/>
          <w:lang w:val="en-US" w:eastAsia="zh-CN"/>
        </w:rPr>
      </w:pPr>
      <w:r>
        <w:rPr>
          <w:rFonts w:hint="eastAsia" w:ascii="方正仿宋_GB2312" w:hAnsi="方正仿宋_GB2312" w:eastAsia="方正仿宋_GB2312" w:cs="方正仿宋_GB2312"/>
          <w:sz w:val="24"/>
        </w:rPr>
        <mc:AlternateContent>
          <mc:Choice Requires="wps">
            <w:drawing>
              <wp:anchor distT="0" distB="0" distL="114300" distR="114300" simplePos="0" relativeHeight="251678720" behindDoc="0" locked="0" layoutInCell="1" allowOverlap="1">
                <wp:simplePos x="0" y="0"/>
                <wp:positionH relativeFrom="column">
                  <wp:posOffset>366395</wp:posOffset>
                </wp:positionH>
                <wp:positionV relativeFrom="paragraph">
                  <wp:posOffset>62865</wp:posOffset>
                </wp:positionV>
                <wp:extent cx="5262245" cy="0"/>
                <wp:effectExtent l="15875" t="15875" r="0" b="22225"/>
                <wp:wrapNone/>
                <wp:docPr id="44" name="直接连接符 44"/>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85pt;margin-top:4.95pt;height:0pt;width:414.35pt;z-index:251678720;mso-width-relative:page;mso-height-relative:page;" filled="f" stroked="t" coordsize="21600,21600" o:gfxdata="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KVqS9IAAAAGAQAA&#10;DwAAAAAAAAABACAAAAAiAAAAZHJzL2Rvd25yZXYueG1sUEsBAhQAFAAAAAgAh07iQGeFYE3mAQAA&#10;nQMAAA4AAAAAAAAAAQAgAAAAIQEAAGRycy9lMm9Eb2MueG1sUEsFBgAAAAAGAAYAWQEAAHkFAAAA&#10;AA==&#10;">
                <v:fill on="f" focussize="0,0"/>
                <v:stroke weight="2.5pt" color="#4874CB [3204]" joinstyle="round" dashstyle="1 1" endcap="round"/>
                <v:imagedata o:title=""/>
                <o:lock v:ext="edit" aspectratio="f"/>
              </v:line>
            </w:pict>
          </mc:Fallback>
        </mc:AlternateContent>
      </w:r>
      <w:r>
        <w:rPr>
          <w:rFonts w:hint="eastAsia" w:asciiTheme="minorEastAsia" w:hAnsiTheme="minorEastAsia" w:eastAsiaTheme="minorEastAsia" w:cstheme="minorEastAsia"/>
          <w:b w:val="0"/>
          <w:bCs w:val="0"/>
          <w:color w:val="auto"/>
          <w:kern w:val="0"/>
          <w:sz w:val="24"/>
          <w:szCs w:val="24"/>
          <w:lang w:val="en-US" w:eastAsia="zh-CN"/>
        </w:rPr>
        <w:t>企业在制定营销风险管理计划时，应主动征询来自经销商、行业专家、消费者代表以及监管机构等利益相关方的意见和建议。通过这种多方参与的方式，企业能够获得更全面的市场洞察，识别潜在风险点，并共同探讨有效的风险缓解策略。这不仅有助于提升风险管理计划的实效性，还能增强企业与各方的信任关系，促进企业的长期稳定发展。</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方正公文黑体" w:hAnsi="方正公文黑体" w:eastAsia="方正公文黑体" w:cs="方正公文黑体"/>
          <w:sz w:val="28"/>
          <w:szCs w:val="28"/>
          <w:lang w:val="en-US" w:eastAsia="zh-CN"/>
        </w:rPr>
      </w:pPr>
      <w:r>
        <w:rPr>
          <w:rFonts w:hint="eastAsia" w:ascii="方正公文黑体" w:hAnsi="方正公文黑体" w:eastAsia="方正公文黑体" w:cs="方正公文黑体"/>
          <w:sz w:val="28"/>
          <w:szCs w:val="28"/>
          <w:lang w:val="en-US" w:eastAsia="zh-CN"/>
        </w:rPr>
        <w:t xml:space="preserve"> </w:t>
      </w:r>
      <w:r>
        <w:rPr>
          <w:rFonts w:hint="eastAsia" w:asciiTheme="minorEastAsia" w:hAnsiTheme="minorEastAsia" w:eastAsiaTheme="minorEastAsia" w:cstheme="minorEastAsia"/>
          <w:b w:val="0"/>
          <w:bCs w:val="0"/>
          <w:color w:val="auto"/>
          <w:kern w:val="0"/>
          <w:sz w:val="24"/>
          <w:szCs w:val="24"/>
          <w:lang w:val="en-US" w:eastAsia="zh-CN"/>
        </w:rPr>
        <w:t xml:space="preserve">   企业通过定期举办培训课程、研讨会和工作坊等活动，可以有效提升经销商和员工对营销风险的认识。这些活动应涵盖风险识别、评估、预防和应对的各个方面，确保参与者了解最新的市场趋势、法律法规变化以及最佳实践。此外，通过模拟演练和案例分析，员工和经销商能够在实践中学习如何有效管理风险，从而提高整个销售网络的风险管理能力和应对突发事件的准备状态。</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en-US"/>
        </w:rPr>
        <w:t xml:space="preserve">表 </w:t>
      </w:r>
      <w:r>
        <w:rPr>
          <w:rFonts w:hint="eastAsia" w:ascii="方正仿宋_GB2312" w:hAnsi="方正仿宋_GB2312" w:eastAsia="方正仿宋_GB2312" w:cs="方正仿宋_GB2312"/>
          <w:b w:val="0"/>
          <w:bCs w:val="0"/>
          <w:color w:val="auto"/>
          <w:kern w:val="0"/>
          <w:sz w:val="24"/>
          <w:szCs w:val="24"/>
          <w:lang w:val="en-US" w:eastAsia="zh-CN"/>
        </w:rPr>
        <w:t>5</w:t>
      </w:r>
      <w:r>
        <w:rPr>
          <w:rFonts w:hint="eastAsia" w:ascii="方正仿宋_GB2312" w:hAnsi="方正仿宋_GB2312" w:eastAsia="方正仿宋_GB2312" w:cs="方正仿宋_GB2312"/>
          <w:b w:val="0"/>
          <w:bCs w:val="0"/>
          <w:color w:val="auto"/>
          <w:kern w:val="0"/>
          <w:sz w:val="24"/>
          <w:szCs w:val="24"/>
          <w:lang w:val="en-US" w:eastAsia="en-US"/>
        </w:rPr>
        <w:t>-</w:t>
      </w:r>
      <w:r>
        <w:rPr>
          <w:rFonts w:hint="eastAsia" w:ascii="方正仿宋_GB2312" w:hAnsi="方正仿宋_GB2312" w:eastAsia="方正仿宋_GB2312" w:cs="方正仿宋_GB2312"/>
          <w:b w:val="0"/>
          <w:bCs w:val="0"/>
          <w:color w:val="auto"/>
          <w:kern w:val="0"/>
          <w:sz w:val="24"/>
          <w:szCs w:val="24"/>
          <w:lang w:val="en-US" w:eastAsia="zh-CN"/>
        </w:rPr>
        <w:t>13</w:t>
      </w:r>
      <w:r>
        <w:rPr>
          <w:rFonts w:hint="eastAsia" w:ascii="方正仿宋_GB2312" w:hAnsi="方正仿宋_GB2312" w:eastAsia="方正仿宋_GB2312" w:cs="方正仿宋_GB2312"/>
          <w:b w:val="0"/>
          <w:bCs w:val="0"/>
          <w:color w:val="auto"/>
          <w:kern w:val="0"/>
          <w:sz w:val="24"/>
          <w:szCs w:val="24"/>
          <w:lang w:val="en-US" w:eastAsia="en-US"/>
        </w:rPr>
        <w:t>：</w:t>
      </w:r>
      <w:r>
        <w:rPr>
          <w:rFonts w:hint="eastAsia" w:ascii="方正仿宋_GB2312" w:hAnsi="方正仿宋_GB2312" w:eastAsia="方正仿宋_GB2312" w:cs="方正仿宋_GB2312"/>
          <w:b w:val="0"/>
          <w:bCs w:val="0"/>
          <w:color w:val="auto"/>
          <w:kern w:val="0"/>
          <w:sz w:val="24"/>
          <w:szCs w:val="24"/>
          <w:lang w:val="en-US" w:eastAsia="zh-CN"/>
        </w:rPr>
        <w:t>白酒营销过程中重点风险领域企业终止、防范或减轻风险的行动措施</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3"/>
        <w:gridCol w:w="6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color w:val="auto"/>
                <w:sz w:val="24"/>
                <w:szCs w:val="24"/>
                <w:vertAlign w:val="baseline"/>
                <w:lang w:eastAsia="zh-CN"/>
              </w:rPr>
            </w:pPr>
            <w:r>
              <w:rPr>
                <w:rFonts w:hint="eastAsia" w:ascii="方正仿宋_GB2312" w:hAnsi="方正仿宋_GB2312" w:eastAsia="方正仿宋_GB2312" w:cs="方正仿宋_GB2312"/>
                <w:b w:val="0"/>
                <w:bCs w:val="0"/>
                <w:color w:val="auto"/>
                <w:kern w:val="0"/>
                <w:sz w:val="24"/>
                <w:szCs w:val="24"/>
                <w:highlight w:val="none"/>
                <w:lang w:val="en-US" w:eastAsia="en-US"/>
              </w:rPr>
              <w:t>风险</w:t>
            </w:r>
            <w:r>
              <w:rPr>
                <w:rFonts w:hint="eastAsia" w:ascii="方正仿宋_GB2312" w:hAnsi="方正仿宋_GB2312" w:eastAsia="方正仿宋_GB2312" w:cs="方正仿宋_GB2312"/>
                <w:b w:val="0"/>
                <w:bCs w:val="0"/>
                <w:color w:val="auto"/>
                <w:kern w:val="0"/>
                <w:sz w:val="24"/>
                <w:szCs w:val="24"/>
                <w:highlight w:val="none"/>
                <w:lang w:val="en-US" w:eastAsia="zh-CN"/>
              </w:rPr>
              <w:t>类型</w:t>
            </w:r>
          </w:p>
        </w:tc>
        <w:tc>
          <w:tcPr>
            <w:tcW w:w="6612" w:type="dxa"/>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color w:val="auto"/>
                <w:sz w:val="24"/>
                <w:szCs w:val="24"/>
                <w:vertAlign w:val="baseline"/>
                <w:lang w:val="en-US"/>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企业可以采取的行动措施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left="0"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产品安全风险</w:t>
            </w:r>
          </w:p>
          <w:p>
            <w:pPr>
              <w:keepNext w:val="0"/>
              <w:keepLines w:val="0"/>
              <w:pageBreakBefore w:val="0"/>
              <w:widowControl w:val="0"/>
              <w:kinsoku/>
              <w:wordWrap/>
              <w:overflowPunct/>
              <w:topLinePunct w:val="0"/>
              <w:autoSpaceDE/>
              <w:autoSpaceDN/>
              <w:bidi w:val="0"/>
              <w:adjustRightInd/>
              <w:snapToGrid/>
              <w:spacing w:afterAutospacing="0" w:line="440" w:lineRule="exact"/>
              <w:ind w:left="0" w:leftChars="0"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en-US"/>
              </w:rPr>
            </w:pPr>
            <w:r>
              <w:rPr>
                <w:rFonts w:hint="eastAsia" w:ascii="方正仿宋_GB2312" w:hAnsi="方正仿宋_GB2312" w:eastAsia="方正仿宋_GB2312" w:cs="方正仿宋_GB2312"/>
                <w:b w:val="0"/>
                <w:bCs w:val="0"/>
                <w:color w:val="auto"/>
                <w:kern w:val="0"/>
                <w:sz w:val="24"/>
                <w:szCs w:val="24"/>
                <w:lang w:val="en-US" w:eastAsia="zh-CN"/>
              </w:rPr>
              <w:t>市场窜货风险</w:t>
            </w:r>
          </w:p>
        </w:tc>
        <w:tc>
          <w:tcPr>
            <w:tcW w:w="6612" w:type="dxa"/>
            <w:vAlign w:val="top"/>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●严格控制产品质量，确保产品安全，避免因产品质量问题导致的消费者健康风险和法律责任。</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●制定并推广产品溯源体系</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leftChars="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en-US"/>
              </w:rPr>
            </w:pPr>
            <w:r>
              <w:rPr>
                <w:rFonts w:hint="eastAsia" w:ascii="方正仿宋_GB2312" w:hAnsi="方正仿宋_GB2312" w:eastAsia="方正仿宋_GB2312" w:cs="方正仿宋_GB2312"/>
                <w:b w:val="0"/>
                <w:bCs w:val="0"/>
                <w:color w:val="auto"/>
                <w:kern w:val="0"/>
                <w:sz w:val="24"/>
                <w:szCs w:val="24"/>
                <w:lang w:val="en-US" w:eastAsia="zh-CN"/>
              </w:rPr>
              <w:t>●强化产销监管链体系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left="0" w:leftChars="0"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仓储风险</w:t>
            </w:r>
          </w:p>
        </w:tc>
        <w:tc>
          <w:tcPr>
            <w:tcW w:w="6612" w:type="dxa"/>
            <w:vAlign w:val="top"/>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●仓库应远离火源，并配备专用的消防设备，定期进行消防安全检查和演练。</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leftChars="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●定期对仓库进行安全审计和检查，确保所有安全措施得到有效执行。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left="0" w:leftChars="0"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●定期对仓库员工进行培训，提高他们对仓储风险的认识和处理能力。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000000" w:themeColor="text1"/>
                <w:kern w:val="0"/>
                <w:sz w:val="24"/>
                <w:szCs w:val="24"/>
                <w:lang w:val="en-US" w:eastAsia="zh-CN"/>
                <w14:textFill>
                  <w14:solidFill>
                    <w14:schemeClr w14:val="tx1"/>
                  </w14:solidFill>
                </w14:textFill>
              </w:rPr>
              <w:t>物流风险</w:t>
            </w:r>
          </w:p>
        </w:tc>
        <w:tc>
          <w:tcPr>
            <w:tcW w:w="6612"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●利用物流管理系统提高物流过程的透明度和追踪能力，实时监控货物状态。</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●为运输中的货物投保，以减轻因意外损失带来的经济压力。</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●根据地理位置和交通状况，规划最佳的运输路线，减少运输时间和成本。</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●引入智慧物流技术，如物联网、大数据分析等，提升物流效率，降低人为错误和风险。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color w:val="auto"/>
                <w:sz w:val="24"/>
                <w:szCs w:val="24"/>
                <w:vertAlign w:val="baseline"/>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营销审计风险</w:t>
            </w:r>
          </w:p>
        </w:tc>
        <w:tc>
          <w:tcPr>
            <w:tcW w:w="6612"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●制定详细的内部审计流程和标准，确保审计工作的规范性和有效性。</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●通过定期的预算执行情况分析和报告，监控营销费用的实际支出与预算之间的差异，及时发现问题并采取调整措施。</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●加强审计人员的专业知识和技能培训，提升其职业素养，确保审计工作的专业性和独立性。</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color w:val="auto"/>
                <w:sz w:val="24"/>
                <w:szCs w:val="24"/>
                <w:vertAlign w:val="baseline"/>
              </w:rPr>
            </w:pPr>
            <w:r>
              <w:rPr>
                <w:rFonts w:hint="eastAsia" w:ascii="方正仿宋_GB2312" w:hAnsi="方正仿宋_GB2312" w:eastAsia="方正仿宋_GB2312" w:cs="方正仿宋_GB2312"/>
                <w:b w:val="0"/>
                <w:bCs w:val="0"/>
                <w:color w:val="auto"/>
                <w:kern w:val="0"/>
                <w:sz w:val="24"/>
                <w:szCs w:val="24"/>
                <w:lang w:val="en-US" w:eastAsia="zh-CN"/>
              </w:rPr>
              <w:t>●确保企业营销活动符合相关法律法规要求，避免因违规操作而引发的审计风险。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color w:val="auto"/>
                <w:sz w:val="24"/>
                <w:szCs w:val="24"/>
                <w:vertAlign w:val="baseline"/>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客户管理风险</w:t>
            </w:r>
          </w:p>
        </w:tc>
        <w:tc>
          <w:tcPr>
            <w:tcW w:w="6612"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●引入或升级客户关系管理系统，以更有效地管理和维护客户信息，提高客户服务质量，实现客户信息的集中管理和分析。</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●定期进行客户满意度调查，收集客户反馈，及时识别和解决客户关系管理中的问题。</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●对员工进行CRM相关的培训，提高他们的客户服务意识和技能，确保他们能够有效地与客户沟通和解决问题。</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●建立高效的客户反馈和投诉处理机制，确保客户问题能够得到快速和满意的解决。</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color w:val="auto"/>
                <w:sz w:val="24"/>
                <w:szCs w:val="24"/>
                <w:vertAlign w:val="baseline"/>
              </w:rPr>
            </w:pPr>
            <w:r>
              <w:rPr>
                <w:rFonts w:hint="eastAsia" w:ascii="方正仿宋_GB2312" w:hAnsi="方正仿宋_GB2312" w:eastAsia="方正仿宋_GB2312" w:cs="方正仿宋_GB2312"/>
                <w:b w:val="0"/>
                <w:bCs w:val="0"/>
                <w:color w:val="auto"/>
                <w:kern w:val="0"/>
                <w:sz w:val="24"/>
                <w:szCs w:val="24"/>
                <w:lang w:val="en-US" w:eastAsia="zh-CN"/>
              </w:rPr>
              <w:t>●对经销商网络进行统一管理和控制，确保销售和市场推广活动的一致性，防止市场混乱。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营销数据安全风险</w:t>
            </w:r>
          </w:p>
        </w:tc>
        <w:tc>
          <w:tcPr>
            <w:tcW w:w="6612"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●对存储和传输的敏感营销数据进行加密，确保即使数据被截获，也无法被未授权者解读。</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●实施严格的访问控制策略，确保只有授权人员才能访问敏感数据，同时采用多因素认证提高安全性。</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●定期备份关键数据，以防数据丢失或损坏，并确保备份数据的安全存储。</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●确保所有数据处理活动符合相关的数据保护法规，如《中华人民共和国个人信息保护法》等。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销售管理风险</w:t>
            </w:r>
          </w:p>
        </w:tc>
        <w:tc>
          <w:tcPr>
            <w:tcW w:w="6612"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●制定明确的销售目标、策略和流程，确保销售活动的规范性和一致性。</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●多方建立合作伙伴关系，如经销商、代理商或联盟营销伙伴，共同开拓市场。开发满足不同市场需求的产品线，以适应多样化的销售渠道和客户偏好。</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●基于历史数据和市场分析，为销售活动制定详细的预算，并确保预算的合理性和可执行性。对销售过程中的变动成本进行严格控制，如运输费用、促销折扣等，确保这些成本与销售收入相匹配。</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●通过定期培训和激励机制，提升销售人员的产品知识、市场洞察力和客户服务技能。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售后风险</w:t>
            </w:r>
          </w:p>
        </w:tc>
        <w:tc>
          <w:tcPr>
            <w:tcW w:w="6612"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●制定明确的售后服务流程和标准，确保消费者在购买后能够得到及时有效的服务支持。</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●收集和分析售后服务数据，识别常见问题和改进点，不断优化售后服务流程和质量。</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●为消费者提供多种沟通渠道，如客服热线、社交媒体、电子邮件等，确保消费者的声音能够被听到并得到回应。</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●培训专业的客户服务团队，确保他们能够解决消费者的疑问和问题，提高客户满意度。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消费者权益保护风险</w:t>
            </w:r>
          </w:p>
        </w:tc>
        <w:tc>
          <w:tcPr>
            <w:tcW w:w="6612"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●确保所有营销活动和广告内容真实、合法，不夸大产品功效，不使用绝对化或误导性的语言。</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●设立便捷的消费者反馈渠道，如客服热线、社交媒体账号等，及时收集和处理消费者的意见和建议。</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●定期对员工进行消费者权益保护法律法规的培训，提高员工的法律意识和服务水平。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3" w:type="dxa"/>
            <w:vAlign w:val="center"/>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center"/>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企业社会责任风险</w:t>
            </w:r>
          </w:p>
        </w:tc>
        <w:tc>
          <w:tcPr>
            <w:tcW w:w="6612" w:type="dxa"/>
          </w:tcPr>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●进行理性饮酒宣传，禁止对未成年人售卖白酒。</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●在营销过程中杜绝铺张浪费，节约资源。</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●积极参与社区建设和公益活动，如支持教育、扶贫、灾害救助等，提升企业的社会形象。</w:t>
            </w:r>
          </w:p>
          <w:p>
            <w:pPr>
              <w:keepNext w:val="0"/>
              <w:keepLines w:val="0"/>
              <w:pageBreakBefore w:val="0"/>
              <w:widowControl w:val="0"/>
              <w:kinsoku/>
              <w:wordWrap/>
              <w:overflowPunct/>
              <w:topLinePunct w:val="0"/>
              <w:autoSpaceDE/>
              <w:autoSpaceDN/>
              <w:bidi w:val="0"/>
              <w:adjustRightInd/>
              <w:snapToGrid/>
              <w:spacing w:afterAutospacing="0" w:line="440" w:lineRule="exact"/>
              <w:ind w:right="0" w:rightChars="0" w:firstLine="0" w:firstLineChars="0"/>
              <w:jc w:val="both"/>
              <w:textAlignment w:val="auto"/>
              <w:rPr>
                <w:rFonts w:hint="eastAsia" w:ascii="方正仿宋_GB2312" w:hAnsi="方正仿宋_GB2312" w:eastAsia="方正仿宋_GB2312" w:cs="方正仿宋_GB2312"/>
                <w:b w:val="0"/>
                <w:bCs w:val="0"/>
                <w:i w:val="0"/>
                <w:iCs w:val="0"/>
                <w:color w:val="auto"/>
                <w:kern w:val="0"/>
                <w:sz w:val="24"/>
                <w:szCs w:val="24"/>
                <w:highlight w:val="none"/>
                <w:lang w:val="en-US" w:eastAsia="zh-CN"/>
              </w:rPr>
            </w:pPr>
            <w:r>
              <w:rPr>
                <w:rFonts w:hint="eastAsia" w:ascii="方正仿宋_GB2312" w:hAnsi="方正仿宋_GB2312" w:eastAsia="方正仿宋_GB2312" w:cs="方正仿宋_GB2312"/>
                <w:b w:val="0"/>
                <w:bCs w:val="0"/>
                <w:i w:val="0"/>
                <w:iCs w:val="0"/>
                <w:color w:val="auto"/>
                <w:kern w:val="0"/>
                <w:sz w:val="24"/>
                <w:szCs w:val="24"/>
                <w:highlight w:val="none"/>
                <w:lang w:val="en-US" w:eastAsia="zh-CN"/>
              </w:rPr>
              <w:t>●提供良好的工作环境和劳动条件，确保员工的健康与安全，提供公平的薪酬和职业发展机会。</w:t>
            </w:r>
          </w:p>
        </w:tc>
      </w:tr>
    </w:tbl>
    <w:p>
      <w:pPr>
        <w:pStyle w:val="2"/>
        <w:pageBreakBefore w:val="0"/>
        <w:kinsoku/>
        <w:wordWrap/>
        <w:overflowPunct/>
        <w:topLinePunct w:val="0"/>
        <w:autoSpaceDE/>
        <w:autoSpaceDN/>
        <w:bidi w:val="0"/>
        <w:adjustRightInd/>
        <w:snapToGrid/>
        <w:spacing w:line="420" w:lineRule="exact"/>
        <w:textAlignment w:val="auto"/>
        <w:outlineLvl w:val="2"/>
        <w:rPr>
          <w:rFonts w:hint="eastAsia" w:ascii="黑体" w:hAnsi="黑体" w:eastAsia="黑体" w:cs="黑体"/>
          <w:sz w:val="28"/>
          <w:szCs w:val="28"/>
          <w:lang w:val="en-US" w:eastAsia="zh-CN"/>
        </w:rPr>
      </w:pPr>
      <w:bookmarkStart w:id="111" w:name="_Toc19224"/>
      <w:bookmarkStart w:id="112" w:name="_Toc2903"/>
      <w:bookmarkStart w:id="113" w:name="_Toc19472"/>
      <w:r>
        <w:rPr>
          <w:rFonts w:hint="eastAsia" w:ascii="黑体" w:hAnsi="黑体" w:eastAsia="黑体" w:cs="黑体"/>
          <w:sz w:val="28"/>
          <w:szCs w:val="28"/>
          <w:lang w:val="en-US" w:eastAsia="zh-CN"/>
        </w:rPr>
        <w:fldChar w:fldCharType="begin"/>
      </w:r>
      <w:r>
        <w:rPr>
          <w:rFonts w:hint="eastAsia" w:ascii="黑体" w:hAnsi="黑体" w:eastAsia="黑体" w:cs="黑体"/>
          <w:sz w:val="28"/>
          <w:szCs w:val="28"/>
          <w:lang w:val="en-US" w:eastAsia="zh-CN"/>
        </w:rPr>
        <w:instrText xml:space="preserve"> HYPERLINK \l _Toc28521 </w:instrText>
      </w:r>
      <w:r>
        <w:rPr>
          <w:rFonts w:hint="eastAsia" w:ascii="黑体" w:hAnsi="黑体" w:eastAsia="黑体" w:cs="黑体"/>
          <w:sz w:val="28"/>
          <w:szCs w:val="28"/>
          <w:lang w:val="en-US" w:eastAsia="zh-CN"/>
        </w:rPr>
        <w:fldChar w:fldCharType="separate"/>
      </w:r>
      <w:r>
        <w:rPr>
          <w:rFonts w:hint="eastAsia" w:ascii="黑体" w:hAnsi="黑体" w:eastAsia="黑体" w:cs="黑体"/>
          <w:sz w:val="28"/>
          <w:szCs w:val="28"/>
          <w:lang w:val="en-US" w:eastAsia="zh-CN"/>
        </w:rPr>
        <w:t>5.3.4</w:t>
      </w:r>
      <w:r>
        <w:rPr>
          <w:rFonts w:hint="eastAsia" w:ascii="黑体" w:hAnsi="黑体" w:eastAsia="黑体" w:cs="黑体"/>
          <w:sz w:val="28"/>
          <w:szCs w:val="28"/>
        </w:rPr>
        <w:t>跟踪实施情况</w:t>
      </w:r>
      <w:r>
        <w:rPr>
          <w:rFonts w:hint="eastAsia" w:ascii="黑体" w:hAnsi="黑体" w:eastAsia="黑体" w:cs="黑体"/>
          <w:sz w:val="28"/>
          <w:szCs w:val="28"/>
          <w:lang w:val="en-US" w:eastAsia="zh-CN"/>
        </w:rPr>
        <w:t>与</w:t>
      </w:r>
      <w:r>
        <w:rPr>
          <w:rFonts w:hint="eastAsia" w:ascii="黑体" w:hAnsi="黑体" w:eastAsia="黑体" w:cs="黑体"/>
          <w:sz w:val="28"/>
          <w:szCs w:val="28"/>
        </w:rPr>
        <w:t>结果</w:t>
      </w:r>
      <w:r>
        <w:rPr>
          <w:rFonts w:hint="eastAsia" w:ascii="黑体" w:hAnsi="黑体" w:eastAsia="黑体" w:cs="黑体"/>
          <w:sz w:val="28"/>
          <w:szCs w:val="28"/>
          <w:lang w:val="en-US" w:eastAsia="zh-CN"/>
        </w:rPr>
        <w:fldChar w:fldCharType="end"/>
      </w:r>
      <w:bookmarkEnd w:id="111"/>
      <w:bookmarkEnd w:id="112"/>
      <w:bookmarkEnd w:id="113"/>
    </w:p>
    <w:p>
      <w:pPr>
        <w:pStyle w:val="11"/>
        <w:keepNext w:val="0"/>
        <w:keepLines w:val="0"/>
        <w:pageBreakBefore w:val="0"/>
        <w:kinsoku/>
        <w:wordWrap/>
        <w:overflowPunct/>
        <w:topLinePunct w:val="0"/>
        <w:bidi w:val="0"/>
        <w:adjustRightInd/>
        <w:snapToGrid/>
        <w:spacing w:afterAutospacing="0" w:line="44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bidi="ar"/>
        </w:rPr>
        <w:t>跟踪</w:t>
      </w:r>
      <w:r>
        <w:rPr>
          <w:rFonts w:hint="eastAsia" w:asciiTheme="minorEastAsia" w:hAnsiTheme="minorEastAsia" w:cstheme="minorEastAsia"/>
          <w:b w:val="0"/>
          <w:bCs w:val="0"/>
          <w:color w:val="auto"/>
          <w:kern w:val="0"/>
          <w:sz w:val="24"/>
          <w:szCs w:val="24"/>
          <w:lang w:val="en-US" w:eastAsia="zh-CN" w:bidi="ar"/>
        </w:rPr>
        <w:t>白酒企业（营销方面）尽责管理活动的实施情况与有效性，即白酒企业识别、防范、减轻与酌情支持补救不利影响的措施，进而利用从跟踪中吸取的教训，在未来改善白酒企业营销绩效。</w:t>
      </w:r>
    </w:p>
    <w:p>
      <w:pPr>
        <w:keepNext w:val="0"/>
        <w:keepLines w:val="0"/>
        <w:pageBreakBefore w:val="0"/>
        <w:widowControl w:val="0"/>
        <w:kinsoku/>
        <w:wordWrap/>
        <w:overflowPunct/>
        <w:topLinePunct w:val="0"/>
        <w:autoSpaceDE/>
        <w:autoSpaceDN/>
        <w:bidi w:val="0"/>
        <w:adjustRightInd/>
        <w:snapToGrid/>
        <w:spacing w:before="179" w:line="400" w:lineRule="exact"/>
        <w:ind w:firstLine="482" w:firstLineChars="200"/>
        <w:textAlignment w:val="auto"/>
        <w:rPr>
          <w:rFonts w:hint="eastAsia" w:ascii="方正仿宋_GB2312" w:hAnsi="方正仿宋_GB2312" w:eastAsia="方正仿宋_GB2312" w:cs="方正仿宋_GB2312"/>
          <w:b/>
          <w:bCs/>
          <w:color w:val="FF0000"/>
          <w:spacing w:val="-5"/>
          <w:sz w:val="24"/>
          <w:szCs w:val="24"/>
          <w:lang w:val="en-US" w:eastAsia="zh-CN"/>
          <w14:textOutline w14:w="4358" w14:cap="sq" w14:cmpd="sng">
            <w14:solidFill>
              <w14:srgbClr w14:val="000000"/>
            </w14:solidFill>
            <w14:prstDash w14:val="solid"/>
            <w14:bevel/>
          </w14:textOutline>
        </w:rPr>
      </w:pPr>
      <w:r>
        <w:rPr>
          <w:rFonts w:hint="eastAsia" w:ascii="方正仿宋_GB2312" w:hAnsi="方正仿宋_GB2312" w:eastAsia="方正仿宋_GB2312" w:cs="方正仿宋_GB2312"/>
          <w:b/>
          <w:bCs/>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z w:val="24"/>
        </w:rPr>
        <mc:AlternateContent>
          <mc:Choice Requires="wps">
            <w:drawing>
              <wp:anchor distT="0" distB="0" distL="114300" distR="114300" simplePos="0" relativeHeight="251679744" behindDoc="0" locked="0" layoutInCell="1" allowOverlap="1">
                <wp:simplePos x="0" y="0"/>
                <wp:positionH relativeFrom="column">
                  <wp:posOffset>276225</wp:posOffset>
                </wp:positionH>
                <wp:positionV relativeFrom="paragraph">
                  <wp:posOffset>62865</wp:posOffset>
                </wp:positionV>
                <wp:extent cx="5262245" cy="0"/>
                <wp:effectExtent l="15875" t="15875" r="0" b="22225"/>
                <wp:wrapNone/>
                <wp:docPr id="45" name="直接连接符 45"/>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75pt;margin-top:4.95pt;height:0pt;width:414.35pt;z-index:251679744;mso-width-relative:page;mso-height-relative:page;" filled="f" stroked="t" coordsize="21600,21600" o:gfxdata="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HeJHaNMAAAAGAQAA&#10;DwAAAAAAAAABACAAAAAiAAAAZHJzL2Rvd25yZXYueG1sUEsBAhQAFAAAAAgAh07iQKOE4GblAQAA&#10;nQMAAA4AAAAAAAAAAQAgAAAAIgEAAGRycy9lMm9Eb2MueG1sUEsFBgAAAAAGAAYAWQEAAHkFAAAA&#10;AA==&#10;">
                <v:fill on="f" focussize="0,0"/>
                <v:stroke weight="2.5pt" color="#4874CB [3204]" joinstyle="round" dashstyle="1 1" endcap="round"/>
                <v:imagedata o:title=""/>
                <o:lock v:ext="edit" aspectratio="f"/>
              </v:line>
            </w:pict>
          </mc:Fallback>
        </mc:AlternateConten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重要提示</w:t>
      </w:r>
      <w:r>
        <w:rPr>
          <w:rFonts w:hint="eastAsia" w:ascii="方正仿宋_GB2312" w:hAnsi="方正仿宋_GB2312" w:eastAsia="方正仿宋_GB2312" w:cs="方正仿宋_GB2312"/>
          <w:b/>
          <w:bCs/>
          <w:spacing w:val="-5"/>
          <w:sz w:val="24"/>
          <w:szCs w:val="24"/>
          <w:lang w:val="en-US" w:eastAsia="en-US"/>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二方、三方评估、顾客满意度调研是跟踪检测风险的良好方法</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白酒产品从厂家到分销商、终端的过程中，涉及到产品的仓储安全、物流安全；白酒产品到消费者端时，涉及到白酒产品的安全。在白酒企业的营销过程中，存在营销审计风险、营销数据安全风险、客户管理风险、消费者权益保护风险、企业社会责任风险等。在实践中，企业可以让政府、白酒协会、消费者协会等部门对白酒企业在营销过程中的风险进行评估，同时开展顾客满意度调研，了解顾客对白酒企业产品、服务的看法，进而提升白酒企业产品、服务质量，保障消费者权益。以上措施是帮助白酒企业及时发现营销过程中问题的有效途径。</w:t>
      </w:r>
    </w:p>
    <w:p>
      <w:pPr>
        <w:keepNext w:val="0"/>
        <w:keepLines w:val="0"/>
        <w:pageBreakBefore w:val="0"/>
        <w:widowControl w:val="0"/>
        <w:kinsoku/>
        <w:wordWrap/>
        <w:overflowPunct/>
        <w:topLinePunct w:val="0"/>
        <w:autoSpaceDE/>
        <w:autoSpaceDN/>
        <w:bidi w:val="0"/>
        <w:adjustRightInd/>
        <w:snapToGrid/>
        <w:spacing w:before="179" w:line="400" w:lineRule="exact"/>
        <w:ind w:firstLine="480" w:firstLineChars="200"/>
        <w:textAlignment w:val="auto"/>
        <w:rPr>
          <w:rFonts w:hint="default" w:asciiTheme="minorEastAsia" w:hAnsiTheme="minorEastAsia" w:eastAsiaTheme="minorEastAsia" w:cstheme="minorEastAsia"/>
          <w:b w:val="0"/>
          <w:bCs w:val="0"/>
          <w:color w:val="auto"/>
          <w:kern w:val="0"/>
          <w:sz w:val="24"/>
          <w:szCs w:val="24"/>
          <w:lang w:val="en-US" w:eastAsia="zh-CN" w:bidi="ar"/>
        </w:rPr>
      </w:pPr>
      <w:r>
        <w:rPr>
          <w:rFonts w:hint="eastAsia" w:ascii="方正仿宋_GB2312" w:hAnsi="方正仿宋_GB2312" w:eastAsia="方正仿宋_GB2312" w:cs="方正仿宋_GB2312"/>
          <w:sz w:val="24"/>
        </w:rPr>
        <mc:AlternateContent>
          <mc:Choice Requires="wps">
            <w:drawing>
              <wp:anchor distT="0" distB="0" distL="114300" distR="114300" simplePos="0" relativeHeight="251680768" behindDoc="0" locked="0" layoutInCell="1" allowOverlap="1">
                <wp:simplePos x="0" y="0"/>
                <wp:positionH relativeFrom="column">
                  <wp:posOffset>276225</wp:posOffset>
                </wp:positionH>
                <wp:positionV relativeFrom="paragraph">
                  <wp:posOffset>62865</wp:posOffset>
                </wp:positionV>
                <wp:extent cx="5262245" cy="0"/>
                <wp:effectExtent l="15875" t="15875" r="0" b="22225"/>
                <wp:wrapNone/>
                <wp:docPr id="46" name="直接连接符 46"/>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75pt;margin-top:4.95pt;height:0pt;width:414.35pt;z-index:251680768;mso-width-relative:page;mso-height-relative:page;" filled="f" stroked="t" coordsize="21600,21600" o:gfxdata="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d4kdo0wAAAAYB&#10;AAAPAAAAAAAAAAEAIAAAACIAAABkcnMvZG93bnJldi54bWxQSwECFAAUAAAACACHTuJA74ZgGucB&#10;AACdAwAADgAAAAAAAAABACAAAAAiAQAAZHJzL2Uyb0RvYy54bWxQSwUGAAAAAAYABgBZAQAAewUA&#10;AAAA&#10;">
                <v:fill on="f" focussize="0,0"/>
                <v:stroke weight="2.5pt" color="#4874CB [3204]" joinstyle="round" dashstyle="1 1" endcap="round"/>
                <v:imagedata o:title=""/>
                <o:lock v:ext="edit" aspectratio="f"/>
              </v:line>
            </w:pict>
          </mc:Fallback>
        </mc:AlternateContent>
      </w:r>
      <w:r>
        <w:rPr>
          <w:rFonts w:hint="eastAsia" w:asciiTheme="minorEastAsia" w:hAnsiTheme="minorEastAsia" w:cstheme="minorEastAsia"/>
          <w:b w:val="0"/>
          <w:bCs w:val="0"/>
          <w:color w:val="auto"/>
          <w:kern w:val="0"/>
          <w:sz w:val="24"/>
          <w:szCs w:val="24"/>
          <w:lang w:val="en-US" w:eastAsia="zh-CN" w:bidi="ar"/>
        </w:rPr>
        <w:t>政府、白酒协会、消费者协会等部门对白酒企业的风险评估极其重要，它是评价白酒企业风险防控措施是否有效的关键因素，也是白酒企业改进风险防控措施的标准之一。白酒企业应主动接受政府、白酒协会、消费者协会的评估、监督，与相关部门持续保持良好的沟通。持续进行顾客满意度调研，了解消费者对白酒企业的态度，改进产品和服务，提升营销绩效。</w:t>
      </w:r>
    </w:p>
    <w:p>
      <w:pPr>
        <w:keepNext w:val="0"/>
        <w:keepLines w:val="0"/>
        <w:pageBreakBefore w:val="0"/>
        <w:widowControl w:val="0"/>
        <w:kinsoku/>
        <w:wordWrap/>
        <w:overflowPunct/>
        <w:topLinePunct w:val="0"/>
        <w:autoSpaceDE/>
        <w:autoSpaceDN/>
        <w:bidi w:val="0"/>
        <w:adjustRightInd/>
        <w:snapToGrid/>
        <w:spacing w:before="236" w:afterAutospacing="0" w:line="440" w:lineRule="exact"/>
        <w:ind w:right="-82" w:rightChars="0" w:firstLine="480" w:firstLineChars="20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表5-13：白酒企业营销不同风险领域的跟踪方式</w:t>
      </w:r>
    </w:p>
    <w:tbl>
      <w:tblPr>
        <w:tblStyle w:val="8"/>
        <w:tblW w:w="0" w:type="auto"/>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1"/>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风险领域</w:t>
            </w:r>
          </w:p>
        </w:tc>
        <w:tc>
          <w:tcPr>
            <w:tcW w:w="6727" w:type="dxa"/>
          </w:tcPr>
          <w:p>
            <w:pPr>
              <w:pStyle w:val="11"/>
              <w:keepNext w:val="0"/>
              <w:keepLines w:val="0"/>
              <w:pageBreakBefore w:val="0"/>
              <w:kinsoku/>
              <w:wordWrap/>
              <w:overflowPunct/>
              <w:topLinePunct w:val="0"/>
              <w:bidi w:val="0"/>
              <w:adjustRightInd/>
              <w:snapToGrid/>
              <w:spacing w:afterAutospacing="0" w:line="440" w:lineRule="exact"/>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跟踪方式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产品安全风险</w:t>
            </w:r>
          </w:p>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lang w:val="en-US" w:eastAsia="zh-CN"/>
              </w:rPr>
              <w:t>市场窜货风险</w:t>
            </w:r>
          </w:p>
        </w:tc>
        <w:tc>
          <w:tcPr>
            <w:tcW w:w="6727" w:type="dxa"/>
            <w:vAlign w:val="top"/>
          </w:tcPr>
          <w:p>
            <w:pPr>
              <w:pStyle w:val="11"/>
              <w:keepNext w:val="0"/>
              <w:keepLines w:val="0"/>
              <w:pageBreakBefore w:val="0"/>
              <w:kinsoku/>
              <w:wordWrap/>
              <w:overflowPunct/>
              <w:topLinePunct w:val="0"/>
              <w:bidi w:val="0"/>
              <w:adjustRightInd/>
              <w:snapToGrid/>
              <w:spacing w:afterAutospacing="0" w:line="440" w:lineRule="exact"/>
              <w:ind w:left="0" w:leftChars="0" w:right="0" w:rightChars="0" w:firstLine="0" w:firstLineChars="0"/>
              <w:jc w:val="left"/>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企业通过建立全面的产品溯源体系，可以精确追踪产品从原材料到成品的每一个环节，确保信息透明，及时发现和解决潜在的质量问题。这不仅有助于提升消费者信心，还能在出现风险时迅速定位问题源头，采取有效措施。同时，构建产销监管链体系，通过合规性监控、风险评估和预警机制，企业能够实时监控产销活动，预防风险。这两个体系的结合，为企业提供了一个动态的风险管理框架，确保了产销活动的连续性和效率，同时降低了因风险导致的经济损失和品牌损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lang w:val="en-US" w:eastAsia="zh-CN"/>
              </w:rPr>
              <w:t>物流风险</w:t>
            </w:r>
          </w:p>
        </w:tc>
        <w:tc>
          <w:tcPr>
            <w:tcW w:w="6727" w:type="dxa"/>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白酒企业识别物流中的关键风险并制定相应的应对策略对白酒营销非常重要。对物流数据进行检测与分析，建立风险预警机制，合理的备货策略和备用物流路线规划，能确保货物的顺利运输和合同履行。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仓储风险</w:t>
            </w:r>
          </w:p>
        </w:tc>
        <w:tc>
          <w:tcPr>
            <w:tcW w:w="6727" w:type="dxa"/>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通过信息化管理系统，对库存白酒进行实时监控和管理。系统可以记录每批白酒的入库时间、数量、生产日期、保质期等信息，方便随时查询和分析。同时，系统还可以设置预警功能，当库存数量低于安全库存时，自动提醒补货，避免断货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lang w:val="en-US" w:eastAsia="zh-CN"/>
              </w:rPr>
              <w:t>营销审计风险</w:t>
            </w:r>
          </w:p>
        </w:tc>
        <w:tc>
          <w:tcPr>
            <w:tcW w:w="6727" w:type="dxa"/>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向企业的高层管理人员灌输营销审计的知识，在企业内部审计组织中设立营销审计小组，加强企业管理的基础性工作，完善企业建设制度，保证营销审计的全面性、系统性、独立性和定期性。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lang w:val="en-US" w:eastAsia="zh-CN"/>
              </w:rPr>
              <w:t>客户管理风险</w:t>
            </w:r>
          </w:p>
        </w:tc>
        <w:tc>
          <w:tcPr>
            <w:tcW w:w="6727" w:type="dxa"/>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通过“一对一”营销原则，满足不同价值客户的个性化需求，提高</w:t>
            </w:r>
            <w:r>
              <w:rPr>
                <w:rFonts w:hint="eastAsia" w:ascii="方正仿宋_GB2312" w:hAnsi="方正仿宋_GB2312" w:eastAsia="方正仿宋_GB2312" w:cs="方正仿宋_GB2312"/>
                <w:b w:val="0"/>
                <w:bCs w:val="0"/>
                <w:color w:val="auto"/>
                <w:kern w:val="0"/>
                <w:sz w:val="24"/>
                <w:szCs w:val="24"/>
                <w:vertAlign w:val="baseline"/>
                <w:lang w:val="en-US" w:eastAsia="zh-CN" w:bidi="ar"/>
              </w:rPr>
              <w:fldChar w:fldCharType="begin"/>
            </w:r>
            <w:r>
              <w:rPr>
                <w:rFonts w:hint="eastAsia" w:ascii="方正仿宋_GB2312" w:hAnsi="方正仿宋_GB2312" w:eastAsia="方正仿宋_GB2312" w:cs="方正仿宋_GB2312"/>
                <w:b w:val="0"/>
                <w:bCs w:val="0"/>
                <w:color w:val="auto"/>
                <w:kern w:val="0"/>
                <w:sz w:val="24"/>
                <w:szCs w:val="24"/>
                <w:vertAlign w:val="baseline"/>
                <w:lang w:val="en-US" w:eastAsia="zh-CN" w:bidi="ar"/>
              </w:rPr>
              <w:instrText xml:space="preserve"> HYPERLINK "https://baike.baidu.com/item/%E5%AE%A2%E6%88%B7%E5%BF%A0%E8%AF%9A%E5%BA%A6/6197300?fromModule=lemma_inlink" \t "https://baike.baidu.com/item/_blank" </w:instrText>
            </w:r>
            <w:r>
              <w:rPr>
                <w:rFonts w:hint="eastAsia" w:ascii="方正仿宋_GB2312" w:hAnsi="方正仿宋_GB2312" w:eastAsia="方正仿宋_GB2312" w:cs="方正仿宋_GB2312"/>
                <w:b w:val="0"/>
                <w:bCs w:val="0"/>
                <w:color w:val="auto"/>
                <w:kern w:val="0"/>
                <w:sz w:val="24"/>
                <w:szCs w:val="24"/>
                <w:vertAlign w:val="baseline"/>
                <w:lang w:val="en-US" w:eastAsia="zh-CN" w:bidi="ar"/>
              </w:rPr>
              <w:fldChar w:fldCharType="separate"/>
            </w:r>
            <w:r>
              <w:rPr>
                <w:rFonts w:hint="eastAsia" w:ascii="方正仿宋_GB2312" w:hAnsi="方正仿宋_GB2312" w:eastAsia="方正仿宋_GB2312" w:cs="方正仿宋_GB2312"/>
                <w:b w:val="0"/>
                <w:bCs w:val="0"/>
                <w:color w:val="auto"/>
                <w:kern w:val="0"/>
                <w:sz w:val="24"/>
                <w:szCs w:val="24"/>
                <w:vertAlign w:val="baseline"/>
                <w:lang w:val="en-US" w:eastAsia="zh-CN" w:bidi="ar"/>
              </w:rPr>
              <w:t>客户忠诚度</w:t>
            </w:r>
            <w:r>
              <w:rPr>
                <w:rFonts w:hint="eastAsia" w:ascii="方正仿宋_GB2312" w:hAnsi="方正仿宋_GB2312" w:eastAsia="方正仿宋_GB2312" w:cs="方正仿宋_GB2312"/>
                <w:b w:val="0"/>
                <w:bCs w:val="0"/>
                <w:color w:val="auto"/>
                <w:kern w:val="0"/>
                <w:sz w:val="24"/>
                <w:szCs w:val="24"/>
                <w:vertAlign w:val="baseline"/>
                <w:lang w:val="en-US" w:eastAsia="zh-CN" w:bidi="ar"/>
              </w:rPr>
              <w:fldChar w:fldCharType="end"/>
            </w:r>
            <w:r>
              <w:rPr>
                <w:rFonts w:hint="eastAsia" w:ascii="方正仿宋_GB2312" w:hAnsi="方正仿宋_GB2312" w:eastAsia="方正仿宋_GB2312" w:cs="方正仿宋_GB2312"/>
                <w:b w:val="0"/>
                <w:bCs w:val="0"/>
                <w:color w:val="auto"/>
                <w:kern w:val="0"/>
                <w:sz w:val="24"/>
                <w:szCs w:val="24"/>
                <w:vertAlign w:val="baseline"/>
                <w:lang w:val="en-US" w:eastAsia="zh-CN" w:bidi="ar"/>
              </w:rPr>
              <w:t>和保有率，实现客户价值持续贡献。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lang w:val="en-US" w:eastAsia="zh-CN"/>
              </w:rPr>
              <w:t>营销数据安全风险</w:t>
            </w:r>
          </w:p>
        </w:tc>
        <w:tc>
          <w:tcPr>
            <w:tcW w:w="6727" w:type="dxa"/>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白酒企业已经把关键数据视为正常运作的基础。保护关键的营销数据主要有以下三种基本方法：</w:t>
            </w:r>
          </w:p>
          <w:p>
            <w:pPr>
              <w:pStyle w:val="11"/>
              <w:keepNext w:val="0"/>
              <w:keepLines w:val="0"/>
              <w:pageBreakBefore w:val="0"/>
              <w:numPr>
                <w:ilvl w:val="0"/>
                <w:numId w:val="1"/>
              </w:numPr>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备份关键数据；</w:t>
            </w:r>
          </w:p>
          <w:p>
            <w:pPr>
              <w:pStyle w:val="11"/>
              <w:keepNext w:val="0"/>
              <w:keepLines w:val="0"/>
              <w:pageBreakBefore w:val="0"/>
              <w:numPr>
                <w:ilvl w:val="0"/>
                <w:numId w:val="1"/>
              </w:numPr>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建立权限；</w:t>
            </w:r>
          </w:p>
          <w:p>
            <w:pPr>
              <w:pStyle w:val="11"/>
              <w:keepNext w:val="0"/>
              <w:keepLines w:val="0"/>
              <w:pageBreakBefore w:val="0"/>
              <w:numPr>
                <w:ilvl w:val="0"/>
                <w:numId w:val="1"/>
              </w:numPr>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对敏感数据加密。</w:t>
            </w:r>
          </w:p>
          <w:p>
            <w:pPr>
              <w:pStyle w:val="11"/>
              <w:keepNext w:val="0"/>
              <w:keepLines w:val="0"/>
              <w:pageBreakBefore w:val="0"/>
              <w:numPr>
                <w:ilvl w:val="0"/>
                <w:numId w:val="0"/>
              </w:numPr>
              <w:kinsoku/>
              <w:wordWrap/>
              <w:overflowPunct/>
              <w:topLinePunct w:val="0"/>
              <w:bidi w:val="0"/>
              <w:adjustRightInd/>
              <w:snapToGrid/>
              <w:spacing w:afterAutospacing="0" w:line="440" w:lineRule="exact"/>
              <w:ind w:left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把这三种方法结合起来，可为白酒企业提供数据安全所需的保护级别。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lang w:val="en-US" w:eastAsia="zh-CN"/>
              </w:rPr>
              <w:t>销售管理风险</w:t>
            </w:r>
          </w:p>
        </w:tc>
        <w:tc>
          <w:tcPr>
            <w:tcW w:w="6727" w:type="dxa"/>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制定完善的销售管理制度，建立系统的业务报告体系，及时地收集和</w:t>
            </w:r>
            <w:r>
              <w:rPr>
                <w:rFonts w:hint="eastAsia" w:ascii="方正仿宋_GB2312" w:hAnsi="方正仿宋_GB2312" w:eastAsia="方正仿宋_GB2312" w:cs="方正仿宋_GB2312"/>
                <w:b w:val="0"/>
                <w:bCs w:val="0"/>
                <w:color w:val="auto"/>
                <w:kern w:val="0"/>
                <w:sz w:val="24"/>
                <w:szCs w:val="24"/>
                <w:vertAlign w:val="baseline"/>
                <w:lang w:val="en-US" w:eastAsia="zh-CN" w:bidi="ar"/>
              </w:rPr>
              <w:fldChar w:fldCharType="begin"/>
            </w:r>
            <w:r>
              <w:rPr>
                <w:rFonts w:hint="eastAsia" w:ascii="方正仿宋_GB2312" w:hAnsi="方正仿宋_GB2312" w:eastAsia="方正仿宋_GB2312" w:cs="方正仿宋_GB2312"/>
                <w:b w:val="0"/>
                <w:bCs w:val="0"/>
                <w:color w:val="auto"/>
                <w:kern w:val="0"/>
                <w:sz w:val="24"/>
                <w:szCs w:val="24"/>
                <w:vertAlign w:val="baseline"/>
                <w:lang w:val="en-US" w:eastAsia="zh-CN" w:bidi="ar"/>
              </w:rPr>
              <w:instrText xml:space="preserve"> HYPERLINK "https://baike.baidu.com/item/%E5%8F%8D%E9%A6%88%E4%BF%A1%E6%81%AF/624776?fromModule=lemma_inlink" \t "https://baike.baidu.com/item/%E9%94%80%E5%94%AE%E7%AE%A1%E7%90%86/_blank" </w:instrText>
            </w:r>
            <w:r>
              <w:rPr>
                <w:rFonts w:hint="eastAsia" w:ascii="方正仿宋_GB2312" w:hAnsi="方正仿宋_GB2312" w:eastAsia="方正仿宋_GB2312" w:cs="方正仿宋_GB2312"/>
                <w:b w:val="0"/>
                <w:bCs w:val="0"/>
                <w:color w:val="auto"/>
                <w:kern w:val="0"/>
                <w:sz w:val="24"/>
                <w:szCs w:val="24"/>
                <w:vertAlign w:val="baseline"/>
                <w:lang w:val="en-US" w:eastAsia="zh-CN" w:bidi="ar"/>
              </w:rPr>
              <w:fldChar w:fldCharType="separate"/>
            </w:r>
            <w:r>
              <w:rPr>
                <w:rFonts w:hint="eastAsia" w:ascii="方正仿宋_GB2312" w:hAnsi="方正仿宋_GB2312" w:eastAsia="方正仿宋_GB2312" w:cs="方正仿宋_GB2312"/>
                <w:b w:val="0"/>
                <w:bCs w:val="0"/>
                <w:color w:val="auto"/>
                <w:kern w:val="0"/>
                <w:sz w:val="24"/>
                <w:szCs w:val="24"/>
                <w:vertAlign w:val="baseline"/>
                <w:lang w:val="en-US" w:eastAsia="zh-CN" w:bidi="ar"/>
              </w:rPr>
              <w:t>反馈信息</w:t>
            </w:r>
            <w:r>
              <w:rPr>
                <w:rFonts w:hint="eastAsia" w:ascii="方正仿宋_GB2312" w:hAnsi="方正仿宋_GB2312" w:eastAsia="方正仿宋_GB2312" w:cs="方正仿宋_GB2312"/>
                <w:b w:val="0"/>
                <w:bCs w:val="0"/>
                <w:color w:val="auto"/>
                <w:kern w:val="0"/>
                <w:sz w:val="24"/>
                <w:szCs w:val="24"/>
                <w:vertAlign w:val="baseline"/>
                <w:lang w:val="en-US" w:eastAsia="zh-CN" w:bidi="ar"/>
              </w:rPr>
              <w:fldChar w:fldCharType="end"/>
            </w:r>
            <w:r>
              <w:rPr>
                <w:rFonts w:hint="eastAsia" w:ascii="方正仿宋_GB2312" w:hAnsi="方正仿宋_GB2312" w:eastAsia="方正仿宋_GB2312" w:cs="方正仿宋_GB2312"/>
                <w:b w:val="0"/>
                <w:bCs w:val="0"/>
                <w:color w:val="auto"/>
                <w:kern w:val="0"/>
                <w:sz w:val="24"/>
                <w:szCs w:val="24"/>
                <w:vertAlign w:val="baseline"/>
                <w:lang w:val="en-US" w:eastAsia="zh-CN" w:bidi="ar"/>
              </w:rPr>
              <w:t>，制定明确的</w:t>
            </w:r>
            <w:r>
              <w:rPr>
                <w:rFonts w:hint="eastAsia" w:ascii="方正仿宋_GB2312" w:hAnsi="方正仿宋_GB2312" w:eastAsia="方正仿宋_GB2312" w:cs="方正仿宋_GB2312"/>
                <w:b w:val="0"/>
                <w:bCs w:val="0"/>
                <w:color w:val="auto"/>
                <w:kern w:val="0"/>
                <w:sz w:val="24"/>
                <w:szCs w:val="24"/>
                <w:vertAlign w:val="baseline"/>
                <w:lang w:val="en-US" w:eastAsia="zh-CN" w:bidi="ar"/>
              </w:rPr>
              <w:fldChar w:fldCharType="begin"/>
            </w:r>
            <w:r>
              <w:rPr>
                <w:rFonts w:hint="eastAsia" w:ascii="方正仿宋_GB2312" w:hAnsi="方正仿宋_GB2312" w:eastAsia="方正仿宋_GB2312" w:cs="方正仿宋_GB2312"/>
                <w:b w:val="0"/>
                <w:bCs w:val="0"/>
                <w:color w:val="auto"/>
                <w:kern w:val="0"/>
                <w:sz w:val="24"/>
                <w:szCs w:val="24"/>
                <w:vertAlign w:val="baseline"/>
                <w:lang w:val="en-US" w:eastAsia="zh-CN" w:bidi="ar"/>
              </w:rPr>
              <w:instrText xml:space="preserve"> HYPERLINK "https://baike.baidu.com/item/%E9%94%80%E5%94%AE%E7%9B%AE%E6%A0%87/0?fromModule=lemma_inlink" \t "https://baike.baidu.com/item/%E9%94%80%E5%94%AE%E7%AE%A1%E7%90%86/_blank" </w:instrText>
            </w:r>
            <w:r>
              <w:rPr>
                <w:rFonts w:hint="eastAsia" w:ascii="方正仿宋_GB2312" w:hAnsi="方正仿宋_GB2312" w:eastAsia="方正仿宋_GB2312" w:cs="方正仿宋_GB2312"/>
                <w:b w:val="0"/>
                <w:bCs w:val="0"/>
                <w:color w:val="auto"/>
                <w:kern w:val="0"/>
                <w:sz w:val="24"/>
                <w:szCs w:val="24"/>
                <w:vertAlign w:val="baseline"/>
                <w:lang w:val="en-US" w:eastAsia="zh-CN" w:bidi="ar"/>
              </w:rPr>
              <w:fldChar w:fldCharType="separate"/>
            </w:r>
            <w:r>
              <w:rPr>
                <w:rFonts w:hint="eastAsia" w:ascii="方正仿宋_GB2312" w:hAnsi="方正仿宋_GB2312" w:eastAsia="方正仿宋_GB2312" w:cs="方正仿宋_GB2312"/>
                <w:b w:val="0"/>
                <w:bCs w:val="0"/>
                <w:color w:val="auto"/>
                <w:kern w:val="0"/>
                <w:sz w:val="24"/>
                <w:szCs w:val="24"/>
                <w:vertAlign w:val="baseline"/>
                <w:lang w:val="en-US" w:eastAsia="zh-CN" w:bidi="ar"/>
              </w:rPr>
              <w:t>销售目标</w:t>
            </w:r>
            <w:r>
              <w:rPr>
                <w:rFonts w:hint="eastAsia" w:ascii="方正仿宋_GB2312" w:hAnsi="方正仿宋_GB2312" w:eastAsia="方正仿宋_GB2312" w:cs="方正仿宋_GB2312"/>
                <w:b w:val="0"/>
                <w:bCs w:val="0"/>
                <w:color w:val="auto"/>
                <w:kern w:val="0"/>
                <w:sz w:val="24"/>
                <w:szCs w:val="24"/>
                <w:vertAlign w:val="baseline"/>
                <w:lang w:val="en-US" w:eastAsia="zh-CN" w:bidi="ar"/>
              </w:rPr>
              <w:fldChar w:fldCharType="end"/>
            </w:r>
            <w:r>
              <w:rPr>
                <w:rFonts w:hint="eastAsia" w:ascii="方正仿宋_GB2312" w:hAnsi="方正仿宋_GB2312" w:eastAsia="方正仿宋_GB2312" w:cs="方正仿宋_GB2312"/>
                <w:b w:val="0"/>
                <w:bCs w:val="0"/>
                <w:color w:val="auto"/>
                <w:kern w:val="0"/>
                <w:sz w:val="24"/>
                <w:szCs w:val="24"/>
                <w:vertAlign w:val="baseline"/>
                <w:lang w:val="en-US" w:eastAsia="zh-CN" w:bidi="ar"/>
              </w:rPr>
              <w:t>、回款目标、和其他定性、定量目标，落实具体执行人员、职责和时间。对客户进行有效的管理，调动销售热情，提升白酒企业的销售管理水平。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lang w:val="en-US" w:eastAsia="zh-CN"/>
              </w:rPr>
              <w:t>售后风险</w:t>
            </w:r>
          </w:p>
        </w:tc>
        <w:tc>
          <w:tcPr>
            <w:tcW w:w="6727" w:type="dxa"/>
          </w:tcPr>
          <w:p>
            <w:pPr>
              <w:keepNext w:val="0"/>
              <w:keepLines w:val="0"/>
              <w:pageBreakBefore w:val="0"/>
              <w:widowControl/>
              <w:suppressLineNumbers w:val="0"/>
              <w:kinsoku/>
              <w:wordWrap/>
              <w:overflowPunct/>
              <w:topLinePunct w:val="0"/>
              <w:bidi w:val="0"/>
              <w:adjustRightInd/>
              <w:snapToGrid/>
              <w:spacing w:afterAutospacing="0" w:line="440" w:lineRule="exact"/>
              <w:jc w:val="left"/>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 xml:space="preserve">对客户满意度进行追踪调查和评估，是白酒企业持续改善售后服务的关键。衡量顾客满意度的方法有外部评估与内部核检两个方面： </w:t>
            </w:r>
          </w:p>
          <w:p>
            <w:pPr>
              <w:keepNext w:val="0"/>
              <w:keepLines w:val="0"/>
              <w:pageBreakBefore w:val="0"/>
              <w:widowControl/>
              <w:suppressLineNumbers w:val="0"/>
              <w:kinsoku/>
              <w:wordWrap/>
              <w:overflowPunct/>
              <w:topLinePunct w:val="0"/>
              <w:bidi w:val="0"/>
              <w:adjustRightInd/>
              <w:snapToGrid/>
              <w:spacing w:afterAutospacing="0" w:line="440" w:lineRule="exact"/>
              <w:jc w:val="left"/>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 xml:space="preserve">（1）外部评估主要是在零售店（线下和线上）征集顾客意见； </w:t>
            </w:r>
          </w:p>
          <w:p>
            <w:pPr>
              <w:keepNext w:val="0"/>
              <w:keepLines w:val="0"/>
              <w:pageBreakBefore w:val="0"/>
              <w:widowControl/>
              <w:suppressLineNumbers w:val="0"/>
              <w:kinsoku/>
              <w:wordWrap/>
              <w:overflowPunct/>
              <w:topLinePunct w:val="0"/>
              <w:bidi w:val="0"/>
              <w:adjustRightInd/>
              <w:snapToGrid/>
              <w:spacing w:afterAutospacing="0" w:line="440" w:lineRule="exact"/>
              <w:jc w:val="left"/>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（2）内部核检则是根据企业建立的服务标准，对售后服务过程进行检查，实行服务质量否决权制度，也可以统计分析顾客的投诉情况，审核顾客满意度。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lang w:val="en-US" w:eastAsia="zh-CN"/>
              </w:rPr>
              <w:t>渠道管理风险</w:t>
            </w:r>
          </w:p>
        </w:tc>
        <w:tc>
          <w:tcPr>
            <w:tcW w:w="6727" w:type="dxa"/>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建立并完善渠道系统，建立弹性的销售网络结构，完善销售渠道价格政策，合理组合渠道系统，布局终端，建立完善的网络制度管理体系，建立监察体系，加强对自身及经销商的培训，提高相关人员素质，做好营销渠道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bookmarkStart w:id="114" w:name="_Toc23832"/>
            <w:bookmarkStart w:id="115" w:name="_Toc6401"/>
            <w:r>
              <w:rPr>
                <w:rFonts w:hint="eastAsia" w:ascii="方正仿宋_GB2312" w:hAnsi="方正仿宋_GB2312" w:eastAsia="方正仿宋_GB2312" w:cs="方正仿宋_GB2312"/>
                <w:b w:val="0"/>
                <w:bCs w:val="0"/>
                <w:color w:val="auto"/>
                <w:kern w:val="0"/>
                <w:sz w:val="24"/>
                <w:szCs w:val="24"/>
                <w:lang w:val="en-US" w:eastAsia="zh-CN"/>
              </w:rPr>
              <w:t>消费者权益保护</w:t>
            </w:r>
          </w:p>
        </w:tc>
        <w:tc>
          <w:tcPr>
            <w:tcW w:w="6727" w:type="dxa"/>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遵循《中华人民共和国消费者权益保护法》及其他相关法律法规的规定，提供产品或服务的真实信息，保证商品和服务的质量，尊重消费者的选择权，提供公平的交易条件，提供售后服务，保护消费者个人信息，接受消费者监督，遵守法律法规，建立投诉处理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1" w:type="dxa"/>
            <w:vAlign w:val="center"/>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jc w:val="center"/>
              <w:textAlignment w:val="auto"/>
              <w:rPr>
                <w:rFonts w:hint="eastAsia" w:ascii="方正仿宋_GB2312" w:hAnsi="方正仿宋_GB2312" w:eastAsia="方正仿宋_GB2312" w:cs="方正仿宋_GB2312"/>
                <w:b w:val="0"/>
                <w:bCs w:val="0"/>
                <w:color w:val="auto"/>
                <w:kern w:val="0"/>
                <w:sz w:val="24"/>
                <w:szCs w:val="24"/>
                <w:lang w:val="en-US" w:eastAsia="zh-CN"/>
              </w:rPr>
            </w:pPr>
            <w:r>
              <w:rPr>
                <w:rFonts w:hint="eastAsia" w:ascii="方正仿宋_GB2312" w:hAnsi="方正仿宋_GB2312" w:eastAsia="方正仿宋_GB2312" w:cs="方正仿宋_GB2312"/>
                <w:b w:val="0"/>
                <w:bCs w:val="0"/>
                <w:color w:val="auto"/>
                <w:kern w:val="0"/>
                <w:sz w:val="24"/>
                <w:szCs w:val="24"/>
                <w:lang w:val="en-US" w:eastAsia="zh-CN"/>
              </w:rPr>
              <w:t>企业社会责任</w:t>
            </w:r>
          </w:p>
        </w:tc>
        <w:tc>
          <w:tcPr>
            <w:tcW w:w="6727" w:type="dxa"/>
          </w:tcPr>
          <w:p>
            <w:pPr>
              <w:pStyle w:val="11"/>
              <w:keepNext w:val="0"/>
              <w:keepLines w:val="0"/>
              <w:pageBreakBefore w:val="0"/>
              <w:kinsoku/>
              <w:wordWrap/>
              <w:overflowPunct/>
              <w:topLinePunct w:val="0"/>
              <w:bidi w:val="0"/>
              <w:adjustRightInd/>
              <w:snapToGrid/>
              <w:spacing w:afterAutospacing="0" w:line="440" w:lineRule="exact"/>
              <w:ind w:left="0" w:leftChars="0" w:firstLine="0" w:firstLineChars="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通过诚信经营、质量控制、环境保护、消费者教育、社区参与、事务公开、员工关怀、未成年人保护等方面，在更广泛的社会和环境层面上展现其责任感，从而赢得消费者的信任和支持。</w:t>
            </w:r>
          </w:p>
        </w:tc>
      </w:tr>
    </w:tbl>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color w:val="000000" w:themeColor="text1"/>
          <w:sz w:val="28"/>
          <w:szCs w:val="28"/>
          <w:lang w:val="en-US" w:eastAsia="zh-CN"/>
          <w14:textFill>
            <w14:solidFill>
              <w14:schemeClr w14:val="tx1"/>
            </w14:solidFill>
          </w14:textFill>
        </w:rPr>
      </w:pPr>
      <w:bookmarkStart w:id="116" w:name="_Toc12843"/>
      <w:r>
        <w:rPr>
          <w:rFonts w:hint="eastAsia" w:ascii="方正公文黑体" w:hAnsi="方正公文黑体" w:eastAsia="方正公文黑体" w:cs="方正公文黑体"/>
          <w:color w:val="000000" w:themeColor="text1"/>
          <w:sz w:val="28"/>
          <w:szCs w:val="28"/>
          <w:lang w:val="en-US" w:eastAsia="zh-CN"/>
          <w14:textFill>
            <w14:solidFill>
              <w14:schemeClr w14:val="tx1"/>
            </w14:solidFill>
          </w14:textFill>
        </w:rPr>
        <w:fldChar w:fldCharType="begin"/>
      </w:r>
      <w:r>
        <w:rPr>
          <w:rFonts w:hint="eastAsia" w:ascii="方正公文黑体" w:hAnsi="方正公文黑体" w:eastAsia="方正公文黑体" w:cs="方正公文黑体"/>
          <w:color w:val="000000" w:themeColor="text1"/>
          <w:sz w:val="28"/>
          <w:szCs w:val="28"/>
          <w:lang w:val="en-US" w:eastAsia="zh-CN"/>
          <w14:textFill>
            <w14:solidFill>
              <w14:schemeClr w14:val="tx1"/>
            </w14:solidFill>
          </w14:textFill>
        </w:rPr>
        <w:instrText xml:space="preserve"> HYPERLINK \l _Toc21266 </w:instrText>
      </w:r>
      <w:r>
        <w:rPr>
          <w:rFonts w:hint="eastAsia" w:ascii="方正公文黑体" w:hAnsi="方正公文黑体" w:eastAsia="方正公文黑体" w:cs="方正公文黑体"/>
          <w:color w:val="000000" w:themeColor="text1"/>
          <w:sz w:val="28"/>
          <w:szCs w:val="28"/>
          <w:lang w:val="en-US" w:eastAsia="zh-CN"/>
          <w14:textFill>
            <w14:solidFill>
              <w14:schemeClr w14:val="tx1"/>
            </w14:solidFill>
          </w14:textFill>
        </w:rPr>
        <w:fldChar w:fldCharType="separate"/>
      </w:r>
      <w:r>
        <w:rPr>
          <w:rFonts w:hint="eastAsia" w:ascii="方正公文黑体" w:hAnsi="方正公文黑体" w:eastAsia="方正公文黑体" w:cs="方正公文黑体"/>
          <w:color w:val="000000" w:themeColor="text1"/>
          <w:sz w:val="28"/>
          <w:szCs w:val="28"/>
          <w:lang w:val="en-US" w:eastAsia="zh-CN"/>
          <w14:textFill>
            <w14:solidFill>
              <w14:schemeClr w14:val="tx1"/>
            </w14:solidFill>
          </w14:textFill>
        </w:rPr>
        <w:t>5.3.5</w:t>
      </w:r>
      <w:r>
        <w:rPr>
          <w:rFonts w:hint="eastAsia" w:ascii="方正公文黑体" w:hAnsi="方正公文黑体" w:eastAsia="方正公文黑体" w:cs="方正公文黑体"/>
          <w:color w:val="000000" w:themeColor="text1"/>
          <w:sz w:val="28"/>
          <w:szCs w:val="28"/>
          <w14:textFill>
            <w14:solidFill>
              <w14:schemeClr w14:val="tx1"/>
            </w14:solidFill>
          </w14:textFill>
        </w:rPr>
        <w:t>沟通如何消除影响</w:t>
      </w:r>
      <w:r>
        <w:rPr>
          <w:rFonts w:hint="eastAsia" w:ascii="方正公文黑体" w:hAnsi="方正公文黑体" w:eastAsia="方正公文黑体" w:cs="方正公文黑体"/>
          <w:color w:val="000000" w:themeColor="text1"/>
          <w:sz w:val="28"/>
          <w:szCs w:val="28"/>
          <w:lang w:val="en-US" w:eastAsia="zh-CN"/>
          <w14:textFill>
            <w14:solidFill>
              <w14:schemeClr w14:val="tx1"/>
            </w14:solidFill>
          </w14:textFill>
        </w:rPr>
        <w:fldChar w:fldCharType="end"/>
      </w:r>
      <w:bookmarkEnd w:id="114"/>
      <w:bookmarkEnd w:id="115"/>
      <w:bookmarkEnd w:id="116"/>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宋体" w:hAnsi="宋体" w:eastAsia="宋体" w:cs="宋体"/>
          <w:b w:val="0"/>
          <w:bCs w:val="0"/>
          <w:color w:val="auto"/>
          <w:kern w:val="0"/>
          <w:sz w:val="24"/>
          <w:szCs w:val="24"/>
          <w:vertAlign w:val="baseline"/>
          <w:lang w:val="en-US" w:eastAsia="zh-CN" w:bidi="ar"/>
        </w:rPr>
      </w:pPr>
      <w:bookmarkStart w:id="117" w:name="_Toc2515"/>
      <w:r>
        <w:rPr>
          <w:rFonts w:hint="eastAsia" w:ascii="宋体" w:hAnsi="宋体" w:eastAsia="宋体" w:cs="宋体"/>
          <w:b w:val="0"/>
          <w:bCs w:val="0"/>
          <w:color w:val="auto"/>
          <w:kern w:val="0"/>
          <w:sz w:val="24"/>
          <w:szCs w:val="24"/>
          <w:vertAlign w:val="baseline"/>
          <w:lang w:val="en-US" w:eastAsia="zh-CN" w:bidi="ar"/>
        </w:rPr>
        <w:t>白酒企业在面对多样化的营销风险时，需要制定和实施一系列有针对性的沟通策略，既包括生产企业内部的沟通又包括生产商与营销商的有效沟通。这些策略应当涵盖风险识别、评估、应对和监控的全过程，以确保企业能够在竞争激烈的市场中稳健发展。</w:t>
      </w:r>
    </w:p>
    <w:p>
      <w:pPr>
        <w:keepNext w:val="0"/>
        <w:keepLines w:val="0"/>
        <w:pageBreakBefore w:val="0"/>
        <w:widowControl/>
        <w:suppressLineNumbers w:val="0"/>
        <w:kinsoku/>
        <w:wordWrap/>
        <w:overflowPunct/>
        <w:topLinePunct w:val="0"/>
        <w:bidi w:val="0"/>
        <w:adjustRightInd/>
        <w:snapToGrid/>
        <w:spacing w:afterAutospacing="0" w:line="440" w:lineRule="exact"/>
        <w:ind w:right="0"/>
        <w:jc w:val="left"/>
        <w:textAlignment w:val="auto"/>
        <w:rPr>
          <w:rFonts w:hint="eastAsia" w:ascii="宋体" w:hAnsi="宋体" w:eastAsia="宋体" w:cs="宋体"/>
          <w:b w:val="0"/>
          <w:bCs w:val="0"/>
          <w:color w:val="auto"/>
          <w:kern w:val="0"/>
          <w:sz w:val="24"/>
          <w:szCs w:val="24"/>
          <w:vertAlign w:val="baseline"/>
          <w:lang w:val="en-US" w:eastAsia="zh-CN" w:bidi="ar"/>
        </w:rPr>
      </w:pPr>
    </w:p>
    <w:p>
      <w:pPr>
        <w:keepNext w:val="0"/>
        <w:keepLines w:val="0"/>
        <w:pageBreakBefore w:val="0"/>
        <w:widowControl w:val="0"/>
        <w:kinsoku/>
        <w:wordWrap/>
        <w:overflowPunct/>
        <w:topLinePunct w:val="0"/>
        <w:autoSpaceDE/>
        <w:autoSpaceDN/>
        <w:bidi w:val="0"/>
        <w:adjustRightInd/>
        <w:snapToGrid/>
        <w:spacing w:before="179" w:line="400" w:lineRule="exact"/>
        <w:ind w:firstLine="482" w:firstLineChars="200"/>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bCs/>
          <w:sz w:val="24"/>
        </w:rPr>
        <mc:AlternateContent>
          <mc:Choice Requires="wps">
            <w:drawing>
              <wp:anchor distT="0" distB="0" distL="114300" distR="114300" simplePos="0" relativeHeight="251681792" behindDoc="0" locked="0" layoutInCell="1" allowOverlap="1">
                <wp:simplePos x="0" y="0"/>
                <wp:positionH relativeFrom="column">
                  <wp:posOffset>224155</wp:posOffset>
                </wp:positionH>
                <wp:positionV relativeFrom="paragraph">
                  <wp:posOffset>-41910</wp:posOffset>
                </wp:positionV>
                <wp:extent cx="5262245" cy="0"/>
                <wp:effectExtent l="15875" t="15875" r="0" b="22225"/>
                <wp:wrapNone/>
                <wp:docPr id="47" name="直接连接符 47"/>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65pt;margin-top:-3.3pt;height:0pt;width:414.35pt;z-index:251681792;mso-width-relative:page;mso-height-relative:page;" filled="f" stroked="t" coordsize="21600,21600" o:gfxdata="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hGXn1dQAAAAI&#10;AQAADwAAAAAAAAABACAAAAAiAAAAZHJzL2Rvd25yZXYueG1sUEsBAhQAFAAAAAgAh07iQCuH4DHn&#10;AQAAnQMAAA4AAAAAAAAAAQAgAAAAIwEAAGRycy9lMm9Eb2MueG1sUEsFBgAAAAAGAAYAWQEAAHwF&#10;AAAAAA==&#10;">
                <v:fill on="f" focussize="0,0"/>
                <v:stroke weight="2.5pt" color="#4874CB [3204]" joinstyle="round" dashstyle="1 1" endcap="round"/>
                <v:imagedata o:title=""/>
                <o:lock v:ext="edit" aspectratio="f"/>
              </v:line>
            </w:pict>
          </mc:Fallback>
        </mc:AlternateContent>
      </w:r>
      <w:r>
        <w:rPr>
          <w:rFonts w:hint="eastAsia" w:ascii="方正仿宋_GB2312" w:hAnsi="方正仿宋_GB2312" w:eastAsia="方正仿宋_GB2312" w:cs="方正仿宋_GB2312"/>
          <w:b/>
          <w:bCs/>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重要提示</w:t>
      </w:r>
      <w:r>
        <w:rPr>
          <w:rFonts w:hint="eastAsia" w:ascii="方正仿宋_GB2312" w:hAnsi="方正仿宋_GB2312" w:eastAsia="方正仿宋_GB2312" w:cs="方正仿宋_GB2312"/>
          <w:b/>
          <w:bCs/>
          <w:spacing w:val="-5"/>
          <w:sz w:val="24"/>
          <w:szCs w:val="24"/>
          <w:lang w:val="en-US" w:eastAsia="en-US"/>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培训和教育是企业沟通的重要渠道</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针对营销活动中的风险，培训和教育是沟通的关键渠道，它们对于提升团队风险意识和应对能力至关重要。通过定期的培训课程，企业可以确保营销人员了解最新的市场法规、行业标准以及公司政策，从而在执行营销策略时能够遵循合规性。教育活动还应涵盖风险管理的最佳实践，如数据分析、市场趋势预测和危机应对，帮助员工识别潜在风险并制定有效的应对措施。此外，通过案例研究和角色扮演，员工可以在模拟环境中实践沟通技巧，增强在真实情境中解决问题的能力。这种持续的教育和培训不仅降低了营销风险，还提升了团队的整体绩效和企业的市场竞争力。</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方正仿宋_GB2312" w:hAnsi="方正仿宋_GB2312" w:eastAsia="方正仿宋_GB2312" w:cs="方正仿宋_GB2312"/>
          <w:b w:val="0"/>
          <w:bCs w:val="0"/>
          <w:color w:val="auto"/>
          <w:kern w:val="0"/>
          <w:sz w:val="24"/>
          <w:szCs w:val="24"/>
          <w:vertAlign w:val="baseline"/>
          <w:lang w:val="en-US" w:eastAsia="zh-CN" w:bidi="ar"/>
        </w:rPr>
      </w:pPr>
      <w:r>
        <w:rPr>
          <w:rFonts w:hint="eastAsia" w:ascii="方正仿宋_GB2312" w:hAnsi="方正仿宋_GB2312" w:eastAsia="方正仿宋_GB2312" w:cs="方正仿宋_GB2312"/>
          <w:b w:val="0"/>
          <w:bCs w:val="0"/>
          <w:color w:val="auto"/>
          <w:kern w:val="0"/>
          <w:sz w:val="24"/>
          <w:szCs w:val="24"/>
          <w:vertAlign w:val="baseline"/>
          <w:lang w:val="en-US" w:eastAsia="zh-CN" w:bidi="ar"/>
        </w:rPr>
        <w:t>在营销活动中，利益相关方是一个核心概念，它们指的是与企业的营销活动有直接关系或间接影响的所有个人和组织。适当地描述这些利益相关方对于制定有效的营销策略至关重要。直接利益相关方主要包括客户、消费者、供应商、营销商、零售商和内部员工。这些利益相关方直接参与或影响企业的营销活动。例如，客户和消费者是产品或服务的最终接受者，他们的需求和偏好直接影响产品的设计和定位。供应商和营销商则影响企业的供应链和营销渠道，对产品的成本和上市时间有重要影响。内部员工则是营销活动的执行者，他们的能力和态度直接影响营销活动的成功与否。间接利益相关方则包括政府、社区、媒体、竞争对手和公众等。这些利益相关方虽然不直接参与企业的营销活动，但它们的政策和行为会对营销活动产生直接或间接的影响。例如，政府的政策和法规可能限制企业的营销活动，社区的价值观和期望可能影响企业的社会责任活动，媒体的舆论可能影响消费者的购买决策，竞争对手的策略可能影响企业的市场份额。</w:t>
      </w:r>
    </w:p>
    <w:p>
      <w:pPr>
        <w:keepNext w:val="0"/>
        <w:keepLines w:val="0"/>
        <w:pageBreakBefore w:val="0"/>
        <w:widowControl w:val="0"/>
        <w:kinsoku/>
        <w:wordWrap/>
        <w:overflowPunct/>
        <w:topLinePunct w:val="0"/>
        <w:autoSpaceDE/>
        <w:autoSpaceDN/>
        <w:bidi w:val="0"/>
        <w:adjustRightInd/>
        <w:snapToGrid/>
        <w:spacing w:before="179" w:line="400" w:lineRule="exact"/>
        <w:textAlignment w:val="auto"/>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pPr>
      <w:r>
        <w:rPr>
          <w:rFonts w:hint="eastAsia" w:ascii="方正仿宋_GB2312" w:hAnsi="方正仿宋_GB2312" w:eastAsia="方正仿宋_GB2312" w:cs="方正仿宋_GB2312"/>
          <w:b/>
          <w:bCs/>
          <w:sz w:val="24"/>
        </w:rPr>
        <mc:AlternateContent>
          <mc:Choice Requires="wps">
            <w:drawing>
              <wp:anchor distT="0" distB="0" distL="114300" distR="114300" simplePos="0" relativeHeight="251682816" behindDoc="0" locked="0" layoutInCell="1" allowOverlap="1">
                <wp:simplePos x="0" y="0"/>
                <wp:positionH relativeFrom="column">
                  <wp:posOffset>304800</wp:posOffset>
                </wp:positionH>
                <wp:positionV relativeFrom="paragraph">
                  <wp:posOffset>72390</wp:posOffset>
                </wp:positionV>
                <wp:extent cx="5262245" cy="0"/>
                <wp:effectExtent l="15875" t="15875" r="0" b="22225"/>
                <wp:wrapNone/>
                <wp:docPr id="49" name="直接连接符 49"/>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4pt;margin-top:5.7pt;height:0pt;width:414.35pt;z-index:251682816;mso-width-relative:page;mso-height-relative:page;" filled="f" stroked="t" coordsize="21600,21600" o:gfxdata="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d006U1AAAAAgB&#10;AAAPAAAAAAAAAAEAIAAAACIAAABkcnMvZG93bnJldi54bWxQSwECFAAUAAAACACHTuJA0ouRT+YB&#10;AACdAwAADgAAAAAAAAABACAAAAAjAQAAZHJzL2Uyb0RvYy54bWxQSwUGAAAAAAYABgBZAQAAewUA&#10;AAAA&#10;">
                <v:fill on="f" focussize="0,0"/>
                <v:stroke weight="2.5pt" color="#4874CB [3204]" joinstyle="round" dashstyle="1 1" endcap="round"/>
                <v:imagedata o:title=""/>
                <o:lock v:ext="edit" aspectratio="f"/>
              </v:line>
            </w:pict>
          </mc:Fallback>
        </mc:AlternateContent>
      </w:r>
      <w:r>
        <w:rPr>
          <w:rFonts w:hint="eastAsia" w:ascii="方正仿宋_GB2312" w:hAnsi="方正仿宋_GB2312" w:eastAsia="方正仿宋_GB2312" w:cs="方正仿宋_GB2312"/>
          <w:b/>
          <w:bCs/>
          <w:sz w:val="24"/>
          <w:lang w:val="en-US" w:eastAsia="zh-CN"/>
        </w:rPr>
        <w:t xml:space="preserve">   </w:t>
      </w:r>
      <w:r>
        <w:rPr>
          <w:rFonts w:hint="eastAsia" w:ascii="方正仿宋_GB2312" w:hAnsi="方正仿宋_GB2312" w:eastAsia="方正仿宋_GB2312" w:cs="方正仿宋_GB2312"/>
          <w:b/>
          <w:bCs/>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重要提示</w:t>
      </w:r>
      <w:r>
        <w:rPr>
          <w:rFonts w:hint="eastAsia" w:ascii="方正仿宋_GB2312" w:hAnsi="方正仿宋_GB2312" w:eastAsia="方正仿宋_GB2312" w:cs="方正仿宋_GB2312"/>
          <w:b/>
          <w:bCs/>
          <w:spacing w:val="-5"/>
          <w:sz w:val="24"/>
          <w:szCs w:val="24"/>
          <w:lang w:val="en-US" w:eastAsia="en-US"/>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snapToGrid w:val="0"/>
          <w:color w:val="000000"/>
          <w:kern w:val="0"/>
          <w:sz w:val="24"/>
          <w:szCs w:val="24"/>
          <w:lang w:val="en-US" w:eastAsia="zh-CN" w:bidi="ar-SA"/>
          <w14:textOutline w14:w="4358" w14:cap="sq" w14:cmpd="sng">
            <w14:solidFill>
              <w14:srgbClr w14:val="000000"/>
            </w14:solidFill>
            <w14:prstDash w14:val="solid"/>
            <w14:bevel/>
          </w14:textOutline>
        </w:rPr>
        <w:t>定期会议、建立信任关系、培训与支持、风险预警系统、反馈机制、合作与协议是沟通的途径</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方正仿宋_GB2312" w:hAnsi="方正仿宋_GB2312" w:eastAsia="方正仿宋_GB2312" w:cs="方正仿宋_GB2312"/>
          <w:b w:val="0"/>
          <w:bCs/>
          <w:color w:val="auto"/>
          <w:sz w:val="24"/>
          <w:szCs w:val="24"/>
          <w:lang w:val="en-US" w:eastAsia="zh-CN"/>
        </w:rPr>
      </w:pPr>
      <w:r>
        <w:rPr>
          <w:rFonts w:hint="eastAsia" w:ascii="方正仿宋_GB2312" w:hAnsi="方正仿宋_GB2312" w:eastAsia="方正仿宋_GB2312" w:cs="方正仿宋_GB2312"/>
          <w:b w:val="0"/>
          <w:bCs/>
          <w:color w:val="auto"/>
          <w:sz w:val="24"/>
          <w:szCs w:val="24"/>
          <w:lang w:val="en-US" w:eastAsia="zh-CN"/>
        </w:rPr>
        <w:t>在白酒营销活动中，定期会议是生产商与营销商沟通的核心途径，确保双方同步市场信息和策略。建立信任关系则为合作奠定坚实基础，促进信息的开放交流。培训与支持帮助营销商提升销售能力，确保产品知识准确传达。风险预警系统让双方能够及时识别并应对潜在的市场波动。反馈机制则确保一线市场的声音被听到，指导生产商调整策略。最后，明确的合作与协议为双方提供了清晰的行动指南，预防潜在风险，确保在风险出现时有章可循。这些沟通途径共同构建了一个高效、透明且响应迅速的产销合作框架。</w:t>
      </w:r>
    </w:p>
    <w:p>
      <w:pPr>
        <w:keepNext w:val="0"/>
        <w:keepLines w:val="0"/>
        <w:pageBreakBefore w:val="0"/>
        <w:widowControl w:val="0"/>
        <w:kinsoku/>
        <w:wordWrap/>
        <w:overflowPunct/>
        <w:topLinePunct w:val="0"/>
        <w:autoSpaceDE/>
        <w:autoSpaceDN/>
        <w:bidi w:val="0"/>
        <w:adjustRightInd/>
        <w:snapToGrid/>
        <w:spacing w:before="179" w:line="400" w:lineRule="exact"/>
        <w:textAlignment w:val="auto"/>
        <w:rPr>
          <w:rFonts w:hint="eastAsia" w:asciiTheme="minorEastAsia" w:hAnsiTheme="minorEastAsia" w:eastAsiaTheme="minorEastAsia" w:cstheme="minorEastAsia"/>
          <w:color w:val="auto"/>
          <w:spacing w:val="-5"/>
          <w:kern w:val="2"/>
          <w:sz w:val="24"/>
          <w:szCs w:val="24"/>
          <w:lang w:val="en-US" w:eastAsia="zh-CN" w:bidi="ar-SA"/>
          <w14:textOutline w14:w="4358" w14:cap="sq" w14:cmpd="sng">
            <w14:solidFill>
              <w14:srgbClr w14:val="000000"/>
            </w14:solidFill>
            <w14:prstDash w14:val="solid"/>
            <w14:bevel/>
          </w14:textOutline>
        </w:rPr>
      </w:pPr>
      <w:r>
        <w:rPr>
          <w:rFonts w:hint="eastAsia" w:ascii="方正仿宋_GB2312" w:hAnsi="方正仿宋_GB2312" w:eastAsia="方正仿宋_GB2312" w:cs="方正仿宋_GB2312"/>
          <w:b/>
          <w:bCs/>
          <w:sz w:val="24"/>
        </w:rPr>
        <mc:AlternateContent>
          <mc:Choice Requires="wps">
            <w:drawing>
              <wp:anchor distT="0" distB="0" distL="114300" distR="114300" simplePos="0" relativeHeight="251683840" behindDoc="0" locked="0" layoutInCell="1" allowOverlap="1">
                <wp:simplePos x="0" y="0"/>
                <wp:positionH relativeFrom="column">
                  <wp:posOffset>276225</wp:posOffset>
                </wp:positionH>
                <wp:positionV relativeFrom="paragraph">
                  <wp:posOffset>62865</wp:posOffset>
                </wp:positionV>
                <wp:extent cx="5262245" cy="0"/>
                <wp:effectExtent l="15875" t="15875" r="0" b="22225"/>
                <wp:wrapNone/>
                <wp:docPr id="50" name="直接连接符 50"/>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1.75pt;margin-top:4.95pt;height:0pt;width:414.35pt;z-index:251683840;mso-width-relative:page;mso-height-relative:page;" filled="f" stroked="t" coordsize="21600,21600" o:gfxdata="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d4kdo0wAAAAYBAAAP&#10;AAAAAAAAAAEAIAAAACIAAABkcnMvZG93bnJldi54bWxQSwECFAAUAAAACACHTuJA3wRCf+QBAACd&#10;AwAADgAAAAAAAAABACAAAAAiAQAAZHJzL2Uyb0RvYy54bWxQSwUGAAAAAAYABgBZAQAAeAUAAAAA&#10;">
                <v:fill on="f" focussize="0,0"/>
                <v:stroke weight="2.5pt" color="#4874CB [3204]" joinstyle="round" dashstyle="1 1" endcap="round"/>
                <v:imagedata o:title=""/>
                <o:lock v:ext="edit" aspectratio="f"/>
              </v:line>
            </w:pict>
          </mc:Fallback>
        </mc:AlternateContent>
      </w:r>
      <w:r>
        <w:rPr>
          <w:rFonts w:hint="eastAsia" w:asciiTheme="minorEastAsia" w:hAnsiTheme="minorEastAsia" w:eastAsiaTheme="minorEastAsia" w:cstheme="minorEastAsia"/>
          <w:color w:val="auto"/>
          <w:spacing w:val="-5"/>
          <w:kern w:val="2"/>
          <w:sz w:val="24"/>
          <w:szCs w:val="24"/>
          <w:lang w:val="en-US" w:eastAsia="zh-CN" w:bidi="ar-SA"/>
          <w14:textOutline w14:w="4358" w14:cap="sq" w14:cmpd="sng">
            <w14:solidFill>
              <w14:srgbClr w14:val="000000"/>
            </w14:solidFill>
            <w14:prstDash w14:val="solid"/>
            <w14:bevel/>
          </w14:textOutline>
        </w:rPr>
        <w:t>实用行动</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宋体" w:hAnsi="宋体" w:eastAsia="宋体" w:cs="宋体"/>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针对白酒营销中的物流风险，白酒企业可以与物流合作伙伴建立定期沟通机制，确保双方对物流需求和预期有共识；实施实时物流跟踪系统，与客户保持沟通，及时更新配送状态，提高透明度。</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宋体" w:hAnsi="宋体" w:eastAsia="宋体" w:cs="宋体"/>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针对白酒营销中的营销审计风险，白酒企业在内部建立沟通平台，确保营销团队了解审计流程和标准；审计团队应提供清晰的反馈，帮助营销团队理解审计结果并采取改进措施。</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宋体" w:hAnsi="宋体" w:eastAsia="宋体" w:cs="宋体"/>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针对白酒营销中的客户关系管理风险，白酒企业通过客户反馈渠道收集意见，及时响应客户需求和问题；培训销售和服务团队，实施客户关怀策略，提升客户服务水平，增强客户满意度和忠诚度。</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宋体" w:hAnsi="宋体" w:eastAsia="宋体" w:cs="宋体"/>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针对白酒营销中的营销数据安全风险，白酒企业需对员工进行数据安全培训，强调保护客户信息的重要性；与IT部门合作，确保数据存储和传输的安全性，定期进行安全审计。</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宋体" w:hAnsi="宋体" w:eastAsia="宋体" w:cs="宋体"/>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针对白酒营销中的销售管理风险，白酒企业需定期召开销售会议，分享销售策略和市场动态，确保团队目标一致；实施激励机制，鼓励销售团队达成目标，同时监控销售活动，确保合规性。</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宋体" w:hAnsi="宋体" w:eastAsia="宋体" w:cs="宋体"/>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针对白酒营销中的售后风险，设立售后支持热线，快速响应客户反馈，及时解决售后问题。对售后服务团队进行培训，确保他们具备处理复杂问题的能力。</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宋体" w:hAnsi="宋体" w:eastAsia="宋体" w:cs="宋体"/>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针对白酒营销中的渠道管理风险，与营销商和零售商保持紧密沟通，确保渠道策略的一致性和执行；提供渠道管理培训，帮助合作伙伴理解产品定位和市场策略。</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eastAsia" w:ascii="宋体" w:hAnsi="宋体" w:eastAsia="宋体" w:cs="宋体"/>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针对白酒营销中的消费者权益保护风险，白酒企业应当遵循《中华人民共和国消费者权益保护法》及其他相关法律法规的规定，向消费者提供商品或服务的真实、全面信息，包括价格、性能、用途、规格、成分、生产日期、有效期限等，确保所提供的商品和服务符合质量标准，对于可能危及消费者人身、财产安全的商品和服务，应提供明确的警示和使用说明，允许消费者自主选择商品或服务，以及决定是否购买，提供必要的售后服务，接受消费者的监督，对消费者的投诉和建议给予重视，并及时处理，设立便捷的投诉渠道，对消费者的投诉进行及时响应和有效处理，维护消费者的合法权益。</w:t>
      </w:r>
    </w:p>
    <w:p>
      <w:pPr>
        <w:keepNext w:val="0"/>
        <w:keepLines w:val="0"/>
        <w:pageBreakBefore w:val="0"/>
        <w:widowControl/>
        <w:suppressLineNumbers w:val="0"/>
        <w:kinsoku/>
        <w:wordWrap/>
        <w:overflowPunct/>
        <w:topLinePunct w:val="0"/>
        <w:bidi w:val="0"/>
        <w:adjustRightInd/>
        <w:snapToGrid/>
        <w:spacing w:afterAutospacing="0" w:line="440" w:lineRule="exact"/>
        <w:ind w:left="0" w:right="0" w:firstLine="480" w:firstLineChars="200"/>
        <w:jc w:val="left"/>
        <w:textAlignment w:val="auto"/>
        <w:rPr>
          <w:rFonts w:hint="default" w:ascii="宋体" w:hAnsi="宋体" w:eastAsia="微软雅黑" w:cs="宋体"/>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针对白酒营销中的企业社会责任风险，确保广告和营销活动的真实性，严格控制产品和服务的质量，采用环保材料和节能技术，减少废物和污染，与供应商、分销商和零售商建立公平的合作关系，通过提供产品知识、使用指南和安全信息，帮助消费者做出明智的购买决策，参与或支持社区发展项目，如教育、扶贫、公共卫生等，通过慈善捐赠、志愿服务等方式回馈社会，公开披露企业运营、财务状况、社会责任实践等信息，为员工提供良好的工作环境和合理的薪酬福利，尊重员工权益，提供职业发展和培训机会，关注未成年人饮酒问题。</w:t>
      </w:r>
    </w:p>
    <w:p>
      <w:pPr>
        <w:pStyle w:val="2"/>
        <w:pageBreakBefore w:val="0"/>
        <w:kinsoku/>
        <w:wordWrap/>
        <w:overflowPunct/>
        <w:topLinePunct w:val="0"/>
        <w:autoSpaceDE/>
        <w:autoSpaceDN/>
        <w:bidi w:val="0"/>
        <w:adjustRightInd/>
        <w:snapToGrid/>
        <w:spacing w:line="420" w:lineRule="exact"/>
        <w:textAlignment w:val="auto"/>
        <w:outlineLvl w:val="2"/>
        <w:rPr>
          <w:rFonts w:hint="eastAsia" w:ascii="方正公文黑体" w:hAnsi="方正公文黑体" w:eastAsia="方正公文黑体" w:cs="方正公文黑体"/>
          <w:sz w:val="28"/>
          <w:szCs w:val="28"/>
          <w:lang w:val="en-US" w:eastAsia="zh-CN"/>
        </w:rPr>
      </w:pPr>
      <w:bookmarkStart w:id="118" w:name="_Toc13207"/>
      <w:bookmarkStart w:id="119" w:name="_Toc19631"/>
      <w:r>
        <w:rPr>
          <w:rFonts w:hint="eastAsia" w:ascii="方正公文黑体" w:hAnsi="方正公文黑体" w:eastAsia="方正公文黑体" w:cs="方正公文黑体"/>
          <w:sz w:val="28"/>
          <w:szCs w:val="28"/>
          <w:lang w:val="en-US" w:eastAsia="zh-CN"/>
        </w:rPr>
        <w:fldChar w:fldCharType="begin"/>
      </w:r>
      <w:r>
        <w:rPr>
          <w:rFonts w:hint="eastAsia" w:ascii="方正公文黑体" w:hAnsi="方正公文黑体" w:eastAsia="方正公文黑体" w:cs="方正公文黑体"/>
          <w:sz w:val="28"/>
          <w:szCs w:val="28"/>
          <w:lang w:val="en-US" w:eastAsia="zh-CN"/>
        </w:rPr>
        <w:instrText xml:space="preserve"> HYPERLINK \l _Toc12391 </w:instrText>
      </w:r>
      <w:r>
        <w:rPr>
          <w:rFonts w:hint="eastAsia" w:ascii="方正公文黑体" w:hAnsi="方正公文黑体" w:eastAsia="方正公文黑体" w:cs="方正公文黑体"/>
          <w:sz w:val="28"/>
          <w:szCs w:val="28"/>
          <w:lang w:val="en-US" w:eastAsia="zh-CN"/>
        </w:rPr>
        <w:fldChar w:fldCharType="separate"/>
      </w:r>
      <w:r>
        <w:rPr>
          <w:rFonts w:hint="eastAsia" w:ascii="方正公文黑体" w:hAnsi="方正公文黑体" w:eastAsia="方正公文黑体" w:cs="方正公文黑体"/>
          <w:sz w:val="28"/>
          <w:szCs w:val="28"/>
          <w:lang w:val="en-US" w:eastAsia="zh-CN"/>
        </w:rPr>
        <w:t>5.3.6</w:t>
      </w:r>
      <w:r>
        <w:rPr>
          <w:rFonts w:hint="eastAsia" w:ascii="方正公文黑体" w:hAnsi="方正公文黑体" w:eastAsia="方正公文黑体" w:cs="方正公文黑体"/>
          <w:sz w:val="28"/>
          <w:szCs w:val="28"/>
        </w:rPr>
        <w:t>适时提供条件或开展合作进行补救</w:t>
      </w:r>
      <w:r>
        <w:rPr>
          <w:rFonts w:hint="eastAsia" w:ascii="方正公文黑体" w:hAnsi="方正公文黑体" w:eastAsia="方正公文黑体" w:cs="方正公文黑体"/>
          <w:sz w:val="28"/>
          <w:szCs w:val="28"/>
          <w:lang w:val="en-US" w:eastAsia="zh-CN"/>
        </w:rPr>
        <w:fldChar w:fldCharType="end"/>
      </w:r>
      <w:bookmarkEnd w:id="117"/>
      <w:bookmarkEnd w:id="118"/>
      <w:bookmarkEnd w:id="119"/>
      <w:bookmarkStart w:id="120" w:name="bookmark7"/>
      <w:bookmarkEnd w:id="120"/>
      <w:bookmarkStart w:id="121" w:name="bookmark8"/>
      <w:bookmarkEnd w:id="121"/>
      <w:bookmarkStart w:id="122" w:name="bookmark9"/>
      <w:bookmarkEnd w:id="122"/>
    </w:p>
    <w:p>
      <w:pPr>
        <w:pStyle w:val="11"/>
        <w:keepNext w:val="0"/>
        <w:keepLines w:val="0"/>
        <w:pageBreakBefore w:val="0"/>
        <w:kinsoku/>
        <w:wordWrap/>
        <w:overflowPunct/>
        <w:topLinePunct w:val="0"/>
        <w:bidi w:val="0"/>
        <w:adjustRightInd/>
        <w:snapToGrid/>
        <w:spacing w:afterAutospacing="0" w:line="440" w:lineRule="exact"/>
        <w:ind w:left="0" w:leftChars="0" w:firstLine="480" w:firstLineChars="200"/>
        <w:jc w:val="both"/>
        <w:textAlignment w:val="auto"/>
        <w:rPr>
          <w:rFonts w:hint="default" w:eastAsia="方正仿宋_GB2312" w:asciiTheme="minorEastAsia" w:hAnsiTheme="minorEastAsia" w:cstheme="minorEastAsia"/>
          <w:snapToGrid w:val="0"/>
          <w:color w:val="000000"/>
          <w:kern w:val="0"/>
          <w:sz w:val="24"/>
          <w:szCs w:val="24"/>
          <w:lang w:val="en-US" w:eastAsia="zh-CN" w:bidi="ar-SA"/>
          <w14:textOutline w14:w="4358" w14:cap="sq" w14:cmpd="sng">
            <w14:solidFill>
              <w14:srgbClr w14:val="000000"/>
            </w14:solidFill>
            <w14:prstDash w14:val="solid"/>
            <w14:bevel/>
          </w14:textOutline>
        </w:rPr>
      </w:pPr>
      <w:r>
        <w:rPr>
          <w:rFonts w:hint="eastAsia" w:asciiTheme="minorEastAsia" w:hAnsiTheme="minorEastAsia" w:cstheme="minorEastAsia"/>
          <w:b w:val="0"/>
          <w:bCs w:val="0"/>
          <w:color w:val="auto"/>
          <w:kern w:val="0"/>
          <w:sz w:val="24"/>
          <w:szCs w:val="24"/>
          <w:lang w:val="en-US" w:eastAsia="zh-CN" w:bidi="ar"/>
        </w:rPr>
        <w:t>白酒企业识别在营销过程中已经造成或助长风险时，应提供条件或开展合作及时进行补救，争取消除风险。</w:t>
      </w:r>
    </w:p>
    <w:p>
      <w:pPr>
        <w:keepNext w:val="0"/>
        <w:keepLines w:val="0"/>
        <w:pageBreakBefore w:val="0"/>
        <w:widowControl w:val="0"/>
        <w:kinsoku/>
        <w:wordWrap/>
        <w:overflowPunct/>
        <w:topLinePunct w:val="0"/>
        <w:autoSpaceDE/>
        <w:autoSpaceDN/>
        <w:bidi w:val="0"/>
        <w:adjustRightInd/>
        <w:snapToGrid/>
        <w:spacing w:before="179" w:line="400" w:lineRule="exact"/>
        <w:ind w:firstLine="482" w:firstLineChars="200"/>
        <w:textAlignment w:val="auto"/>
        <w:rPr>
          <w:rFonts w:hint="eastAsia" w:ascii="方正仿宋_GB2312" w:hAnsi="方正仿宋_GB2312" w:eastAsia="方正仿宋_GB2312" w:cs="方正仿宋_GB2312"/>
          <w:b w:val="0"/>
          <w:bCs w:val="0"/>
          <w:color w:val="auto"/>
          <w:kern w:val="0"/>
          <w:sz w:val="24"/>
          <w:szCs w:val="24"/>
          <w:lang w:val="en-US" w:eastAsia="zh-CN" w:bidi="ar"/>
        </w:rPr>
      </w:pPr>
      <w:r>
        <w:rPr>
          <w:rFonts w:hint="eastAsia" w:ascii="方正仿宋_GB2312" w:hAnsi="方正仿宋_GB2312" w:eastAsia="方正仿宋_GB2312" w:cs="方正仿宋_GB2312"/>
          <w:b/>
          <w:bCs/>
          <w:sz w:val="24"/>
        </w:rPr>
        <mc:AlternateContent>
          <mc:Choice Requires="wps">
            <w:drawing>
              <wp:anchor distT="0" distB="0" distL="114300" distR="114300" simplePos="0" relativeHeight="251685888" behindDoc="0" locked="0" layoutInCell="1" allowOverlap="1">
                <wp:simplePos x="0" y="0"/>
                <wp:positionH relativeFrom="column">
                  <wp:posOffset>400050</wp:posOffset>
                </wp:positionH>
                <wp:positionV relativeFrom="paragraph">
                  <wp:posOffset>102235</wp:posOffset>
                </wp:positionV>
                <wp:extent cx="5262245" cy="0"/>
                <wp:effectExtent l="15875" t="15875" r="0" b="22225"/>
                <wp:wrapNone/>
                <wp:docPr id="18" name="直接连接符 18"/>
                <wp:cNvGraphicFramePr/>
                <a:graphic xmlns:a="http://schemas.openxmlformats.org/drawingml/2006/main">
                  <a:graphicData uri="http://schemas.microsoft.com/office/word/2010/wordprocessingShape">
                    <wps:wsp>
                      <wps:cNvCnPr/>
                      <wps:spPr>
                        <a:xfrm>
                          <a:off x="0" y="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1.5pt;margin-top:8.05pt;height:0pt;width:414.35pt;z-index:251685888;mso-width-relative:page;mso-height-relative:page;" filled="f" stroked="t" coordsize="21600,21600" o:gfxdata="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V45g11AAAAAgBAAAPAAAAAAAAAAEAIAAA&#10;ACIAAABkcnMvZG93bnJldi54bWxQSwECFAAUAAAACACHTuJAUcbxEtcBAACRAwAADgAAAAAAAAAB&#10;ACAAAAAjAQAAZHJzL2Uyb0RvYy54bWxQSwUGAAAAAAYABgBZAQAAbAUAAAAA&#10;">
                <v:fill on="f" focussize="0,0"/>
                <v:stroke weight="2.5pt" color="#4874CB [3204]" joinstyle="round" dashstyle="1 1" endcap="round"/>
                <v:imagedata o:title=""/>
                <o:lock v:ext="edit" aspectratio="f"/>
              </v:line>
            </w:pict>
          </mc:Fallback>
        </mc:AlternateContent>
      </w:r>
      <w:r>
        <w:rPr>
          <w:rFonts w:hint="eastAsia" w:ascii="方正仿宋_GB2312" w:hAnsi="方正仿宋_GB2312" w:eastAsia="方正仿宋_GB2312" w:cs="方正仿宋_GB2312"/>
          <w:b/>
          <w:bCs/>
          <w:snapToGrid w:val="0"/>
          <w:color w:val="000000"/>
          <w:kern w:val="0"/>
          <w:sz w:val="24"/>
          <w:szCs w:val="24"/>
          <w:lang w:val="en-US" w:eastAsia="zh-CN" w:bidi="ar-SA"/>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重要提示</w:t>
      </w:r>
      <w:r>
        <w:rPr>
          <w:rFonts w:hint="eastAsia" w:ascii="方正仿宋_GB2312" w:hAnsi="方正仿宋_GB2312" w:eastAsia="方正仿宋_GB2312" w:cs="方正仿宋_GB2312"/>
          <w:b/>
          <w:bCs/>
          <w:spacing w:val="-5"/>
          <w:sz w:val="24"/>
          <w:szCs w:val="24"/>
          <w:lang w:val="en-US" w:eastAsia="en-US"/>
          <w14:textOutline w14:w="4358" w14:cap="sq" w14:cmpd="sng">
            <w14:solidFill>
              <w14:srgbClr w14:val="000000"/>
            </w14:solidFill>
            <w14:prstDash w14:val="solid"/>
            <w14:bevel/>
          </w14:textOutline>
        </w:rPr>
        <w:t>：</w:t>
      </w:r>
      <w:r>
        <w:rPr>
          <w:rFonts w:hint="eastAsia" w:ascii="方正仿宋_GB2312" w:hAnsi="方正仿宋_GB2312" w:eastAsia="方正仿宋_GB2312" w:cs="方正仿宋_GB2312"/>
          <w:b/>
          <w:bCs/>
          <w:spacing w:val="-5"/>
          <w:sz w:val="24"/>
          <w:szCs w:val="24"/>
          <w:lang w:val="en-US" w:eastAsia="zh-CN"/>
          <w14:textOutline w14:w="4358" w14:cap="sq" w14:cmpd="sng">
            <w14:solidFill>
              <w14:srgbClr w14:val="000000"/>
            </w14:solidFill>
            <w14:prstDash w14:val="solid"/>
            <w14:bevel/>
          </w14:textOutline>
        </w:rPr>
        <w:t>当企业营销过程中出现风险时，应及时开展补救</w:t>
      </w:r>
    </w:p>
    <w:p>
      <w:pPr>
        <w:pStyle w:val="11"/>
        <w:keepNext w:val="0"/>
        <w:keepLines w:val="0"/>
        <w:pageBreakBefore w:val="0"/>
        <w:kinsoku/>
        <w:wordWrap/>
        <w:overflowPunct/>
        <w:topLinePunct w:val="0"/>
        <w:bidi w:val="0"/>
        <w:adjustRightInd/>
        <w:snapToGrid/>
        <w:spacing w:afterAutospacing="0" w:line="440" w:lineRule="exact"/>
        <w:ind w:left="0" w:leftChars="0" w:firstLine="480" w:firstLineChars="200"/>
        <w:jc w:val="both"/>
        <w:textAlignment w:val="auto"/>
        <w:rPr>
          <w:rFonts w:hint="eastAsia" w:ascii="方正仿宋_GB2312" w:hAnsi="方正仿宋_GB2312" w:eastAsia="方正仿宋_GB2312" w:cs="方正仿宋_GB2312"/>
          <w:b w:val="0"/>
          <w:bCs w:val="0"/>
          <w:color w:val="auto"/>
          <w:kern w:val="0"/>
          <w:sz w:val="24"/>
          <w:szCs w:val="24"/>
          <w:lang w:val="en-US" w:eastAsia="zh-CN" w:bidi="ar"/>
        </w:rPr>
      </w:pPr>
      <w:r>
        <w:rPr>
          <w:rFonts w:hint="eastAsia" w:ascii="方正仿宋_GB2312" w:hAnsi="方正仿宋_GB2312" w:eastAsia="方正仿宋_GB2312" w:cs="方正仿宋_GB2312"/>
          <w:b w:val="0"/>
          <w:bCs w:val="0"/>
          <w:color w:val="auto"/>
          <w:kern w:val="0"/>
          <w:sz w:val="24"/>
          <w:szCs w:val="24"/>
          <w:lang w:val="en-US" w:eastAsia="zh-CN" w:bidi="ar"/>
        </w:rPr>
        <w:t>白酒企业的产品从酒厂到消费端的交付过程中存在很多问题。首先作为高度酒精类饮品，白酒属于易燃易爆，仓储要求更高；其次白酒经销区域性强，各地可能存在政策差异，市场信息又不透明，导致一些经销商窜货屡禁不止，假冒伪劣也层出不穷；终端运输配送方面，也要依靠经销商搭建的团队；再加上淡旺季明显，仓库利用率低下，渠道层面的资金和库存压力也十分巨大，一旦面临如疫情等突发状况导致库存积压、资金紧张，就容易出现乱价现象，打造让白酒更安全、更稳定、更智能的供应链履约体系，打造智能物流中心，建立全渠道全链路的高效协同物流网络，实现“端到端”的数智化。</w:t>
      </w:r>
    </w:p>
    <w:p>
      <w:pPr>
        <w:pStyle w:val="11"/>
        <w:keepNext w:val="0"/>
        <w:keepLines w:val="0"/>
        <w:pageBreakBefore w:val="0"/>
        <w:kinsoku/>
        <w:wordWrap/>
        <w:overflowPunct/>
        <w:topLinePunct w:val="0"/>
        <w:bidi w:val="0"/>
        <w:adjustRightInd/>
        <w:snapToGrid/>
        <w:spacing w:afterAutospacing="0" w:line="440" w:lineRule="exact"/>
        <w:ind w:left="0" w:leftChars="0" w:firstLine="482" w:firstLineChars="200"/>
        <w:jc w:val="both"/>
        <w:textAlignment w:val="auto"/>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bCs/>
          <w:sz w:val="24"/>
        </w:rPr>
        <mc:AlternateContent>
          <mc:Choice Requires="wps">
            <w:drawing>
              <wp:anchor distT="0" distB="0" distL="114300" distR="114300" simplePos="0" relativeHeight="251684864" behindDoc="0" locked="0" layoutInCell="1" allowOverlap="1">
                <wp:simplePos x="0" y="0"/>
                <wp:positionH relativeFrom="column">
                  <wp:posOffset>233680</wp:posOffset>
                </wp:positionH>
                <wp:positionV relativeFrom="paragraph">
                  <wp:posOffset>145415</wp:posOffset>
                </wp:positionV>
                <wp:extent cx="5262245" cy="0"/>
                <wp:effectExtent l="15875" t="15875" r="0" b="22225"/>
                <wp:wrapNone/>
                <wp:docPr id="17" name="直接连接符 17"/>
                <wp:cNvGraphicFramePr/>
                <a:graphic xmlns:a="http://schemas.openxmlformats.org/drawingml/2006/main">
                  <a:graphicData uri="http://schemas.microsoft.com/office/word/2010/wordprocessingShape">
                    <wps:wsp>
                      <wps:cNvCnPr/>
                      <wps:spPr>
                        <a:xfrm>
                          <a:off x="1214120" y="5488940"/>
                          <a:ext cx="5262245" cy="0"/>
                        </a:xfrm>
                        <a:prstGeom prst="line">
                          <a:avLst/>
                        </a:prstGeom>
                        <a:ln w="31750" cap="rnd">
                          <a:solidFill>
                            <a:schemeClr val="accent1"/>
                          </a:solidFill>
                          <a:prstDash val="sysDot"/>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8.4pt;margin-top:11.45pt;height:0pt;width:414.35pt;z-index:251684864;mso-width-relative:page;mso-height-relative:page;" filled="f" stroked="t" coordsize="21600,21600" o:gfxdata="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Fy1dM1AAAAAgB&#10;AAAPAAAAAAAAAAEAIAAAACIAAABkcnMvZG93bnJldi54bWxQSwECFAAUAAAACACHTuJA4BHbsOYB&#10;AACdAwAADgAAAAAAAAABACAAAAAjAQAAZHJzL2Uyb0RvYy54bWxQSwUGAAAAAAYABgBZAQAAewUA&#10;AAAA&#10;">
                <v:fill on="f" focussize="0,0"/>
                <v:stroke weight="2.5pt" color="#4874CB [3204]" joinstyle="round" dashstyle="1 1" endcap="round"/>
                <v:imagedata o:title=""/>
                <o:lock v:ext="edit" aspectratio="f"/>
              </v:line>
            </w:pict>
          </mc:Fallback>
        </mc:AlternateContent>
      </w:r>
    </w:p>
    <w:p>
      <w:pPr>
        <w:pStyle w:val="11"/>
        <w:keepNext w:val="0"/>
        <w:keepLines w:val="0"/>
        <w:pageBreakBefore w:val="0"/>
        <w:kinsoku/>
        <w:wordWrap/>
        <w:overflowPunct/>
        <w:topLinePunct w:val="0"/>
        <w:bidi w:val="0"/>
        <w:adjustRightInd/>
        <w:snapToGrid/>
        <w:spacing w:afterAutospacing="0" w:line="440" w:lineRule="exact"/>
        <w:ind w:left="0" w:leftChars="0" w:firstLine="480" w:firstLineChars="200"/>
        <w:jc w:val="both"/>
        <w:textAlignment w:val="auto"/>
        <w:rPr>
          <w:rFonts w:hint="default"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bidi="ar"/>
        </w:rPr>
        <w:t>若消费者的权益受到影响时，企业应当按照法律要求对受到不利影响的</w:t>
      </w:r>
      <w:r>
        <w:rPr>
          <w:rFonts w:hint="eastAsia" w:asciiTheme="minorEastAsia" w:hAnsiTheme="minorEastAsia" w:cstheme="minorEastAsia"/>
          <w:b w:val="0"/>
          <w:bCs w:val="0"/>
          <w:color w:val="auto"/>
          <w:kern w:val="0"/>
          <w:sz w:val="24"/>
          <w:szCs w:val="24"/>
          <w:lang w:val="en-US" w:eastAsia="zh-CN" w:bidi="ar"/>
        </w:rPr>
        <w:t>消费者</w:t>
      </w:r>
      <w:r>
        <w:rPr>
          <w:rFonts w:hint="eastAsia" w:asciiTheme="minorEastAsia" w:hAnsiTheme="minorEastAsia" w:eastAsiaTheme="minorEastAsia" w:cstheme="minorEastAsia"/>
          <w:b w:val="0"/>
          <w:bCs w:val="0"/>
          <w:color w:val="auto"/>
          <w:kern w:val="0"/>
          <w:sz w:val="24"/>
          <w:szCs w:val="24"/>
          <w:lang w:val="en-US" w:eastAsia="zh-CN" w:bidi="ar"/>
        </w:rPr>
        <w:t>进行补救</w:t>
      </w:r>
      <w:r>
        <w:rPr>
          <w:rFonts w:hint="eastAsia" w:asciiTheme="minorEastAsia" w:hAnsiTheme="minorEastAsia" w:cstheme="minorEastAsia"/>
          <w:b w:val="0"/>
          <w:bCs w:val="0"/>
          <w:color w:val="auto"/>
          <w:kern w:val="0"/>
          <w:sz w:val="24"/>
          <w:szCs w:val="24"/>
          <w:lang w:val="en-US" w:eastAsia="zh-CN" w:bidi="ar"/>
        </w:rPr>
        <w:t>，补救方式有道歉、心理安慰、经济赔偿等。在此过程中，保持与消费者的畅通沟通，征询受到不利影响的消费者意见，做到消费者满意。</w:t>
      </w:r>
    </w:p>
    <w:p>
      <w:pPr>
        <w:pStyle w:val="10"/>
        <w:spacing w:before="156" w:beforeLines="50" w:line="440" w:lineRule="exact"/>
        <w:ind w:firstLine="460" w:firstLineChars="200"/>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color w:val="auto"/>
          <w:spacing w:val="-5"/>
          <w:kern w:val="2"/>
          <w:sz w:val="24"/>
          <w:szCs w:val="24"/>
          <w:lang w:val="en-US" w:eastAsia="zh-CN" w:bidi="ar-SA"/>
          <w14:textOutline w14:w="4358" w14:cap="sq" w14:cmpd="sng">
            <w14:solidFill>
              <w14:srgbClr w14:val="000000"/>
            </w14:solidFill>
            <w14:prstDash w14:val="solid"/>
            <w14:bevel/>
          </w14:textOutline>
        </w:rPr>
        <w:t>实用行动</w:t>
      </w:r>
    </w:p>
    <w:p>
      <w:pPr>
        <w:pStyle w:val="11"/>
        <w:keepNext w:val="0"/>
        <w:keepLines w:val="0"/>
        <w:pageBreakBefore w:val="0"/>
        <w:kinsoku/>
        <w:wordWrap/>
        <w:overflowPunct/>
        <w:topLinePunct w:val="0"/>
        <w:bidi w:val="0"/>
        <w:adjustRightInd/>
        <w:snapToGrid/>
        <w:spacing w:afterAutospacing="0" w:line="440" w:lineRule="exact"/>
        <w:ind w:left="0" w:leftChars="0"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bidi="ar"/>
        </w:rPr>
        <w:t>当企业出现营销审计风险时，可以考虑以下几种补救措施：</w:t>
      </w:r>
    </w:p>
    <w:p>
      <w:pPr>
        <w:pStyle w:val="11"/>
        <w:keepNext w:val="0"/>
        <w:keepLines w:val="0"/>
        <w:pageBreakBefore w:val="0"/>
        <w:numPr>
          <w:ilvl w:val="0"/>
          <w:numId w:val="0"/>
        </w:numPr>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
        </w:rPr>
        <w:t>建立有效的内部控制制度。企业可以通过建立有效的内部控制制度，对营销活动进行监控和管理，及时发现和纠正潜在的风险。</w:t>
      </w:r>
    </w:p>
    <w:p>
      <w:pPr>
        <w:pStyle w:val="11"/>
        <w:keepNext w:val="0"/>
        <w:keepLines w:val="0"/>
        <w:pageBreakBefore w:val="0"/>
        <w:numPr>
          <w:ilvl w:val="0"/>
          <w:numId w:val="0"/>
        </w:numPr>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
        </w:rPr>
        <w:t>加强营销审计。企业可以加强营销审计，对营销活动进定期审计，发现和纠正潜在的风险。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80" w:beforeAutospacing="0" w:after="0"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
        </w:rPr>
        <w:t>加强对营销人员的培训。企业可以加强对营销人员的培训，提高他们的专业素养和风险意识，减少营销风险的发生。</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80" w:beforeAutospacing="0" w:after="0"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
        </w:rPr>
        <w:t>建立风险管理文化。企业可以建立风险管理文化，让员工认识到风险管理的重要性，提高他们的风险意识和应对能力。</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80" w:beforeAutospacing="0" w:after="0"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
        </w:rPr>
        <w:t>寻求外部专业机构的帮助。企业可以寻求外部专业机构的帮助，如咨询公司、律师事务所等，帮助企业评估和应对营销审计风险。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80" w:beforeAutospacing="0" w:after="0"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
        </w:rPr>
        <w:t>提供高质量的客户服务是补救客户管理风险的关键。培训员工，以确保他们能够有效地与客户沟通，解决问题并满足他们的需求。建立投诉处理机制，及时处理客户的投诉和反馈。实施客户关系管理（CRM）系统可以帮助企业更好地管理客户信息、交互和沟通。企业应该建立完善的数据安全管理制度，包括数据分类、访问控制、数据备份和恢复等方面。同时，要加强对员工的安全意识培训，确保他们了解数据安全的重要性。对于营销数据中的敏感信息，如客户的姓名、地址、电话号码等，企业应该采用加密技术进行保护。这样即使数据被盗用，也无法轻易地获取到敏感信息。定期进行安全审计，检查营销数据的安全性和合规性。发现安全漏洞和问题后，要及时进行修复和整改。建立应急响应机制，当营销数据安全遭受攻击或泄露时，能够快速响应并采取有效的措施，减少损失。</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80" w:beforeAutospacing="0" w:after="0" w:afterAutospacing="0" w:line="440" w:lineRule="exact"/>
        <w:ind w:firstLine="480" w:firstLineChars="200"/>
        <w:jc w:val="both"/>
        <w:textAlignment w:val="auto"/>
        <w:rPr>
          <w:rFonts w:hint="eastAsia" w:asciiTheme="minorEastAsia" w:hAnsiTheme="minorEastAsia" w:eastAsiaTheme="minorEastAsia" w:cstheme="minorEastAsia"/>
          <w:i w:val="0"/>
          <w:iCs w:val="0"/>
          <w:caps w:val="0"/>
          <w:color w:val="000000"/>
          <w:spacing w:val="0"/>
          <w:sz w:val="24"/>
          <w:szCs w:val="24"/>
          <w:shd w:val="clear" w:fill="F5F5F5"/>
          <w:lang w:val="en-US" w:eastAsia="zh-CN"/>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
        </w:rPr>
        <w:t>当企业出现销售管理风险时，应该加强对销售数据的分析，了解销售业绩的变化趋势和原因，及时调整销售策略和计划。同时，要建立销售数据的备份和恢复机制，确保销售数据的安全性和完整性。建立风险预警机制，及时发现和评估销售管理风险，采取有效的措施进行防范和控制。同时，要加强对销售管理风险的监控和跟踪，确保风险得到有效的控制和管理。</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
        </w:rPr>
        <w:t>当消费者对服务不满意，企业应调查事件的全过程，确认客服人员是否有过错。如果客服人员有过错，企业应当进一步确认，客服人员是否违反了企业的客服规章。如果企业的客服规章制定不够完善，企业应当修订客服规章。消费者有权利就企业服务态度向相关机构投诉。</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Theme="minorEastAsia" w:hAnsiTheme="minorEastAsia" w:eastAsiaTheme="minorEastAsia" w:cstheme="minorEastAsia"/>
          <w:b w:val="0"/>
          <w:bCs w:val="0"/>
          <w:color w:val="auto"/>
          <w:kern w:val="0"/>
          <w:sz w:val="24"/>
          <w:szCs w:val="24"/>
          <w:lang w:val="en-US" w:eastAsia="zh-CN" w:bidi="ar"/>
        </w:rPr>
        <w:t>当企业出现渠道管理风险时，应当加强与渠道合作伙伴的关系，建立互信和合作的机制。通过与渠道合作伙伴的密切合作，可以更好地了解市场需求和趋势，共同制定营销策略和计划。</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bidi="ar"/>
        </w:rPr>
        <w:t>优化渠道结构。企业应该根据市场需求和销售目标，优化渠道结构，选择合适的渠道类型和合作伙伴。同时，要加强对渠道的管理和监督，确保销售活动的合法性和合规性。</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bidi="ar"/>
        </w:rPr>
        <w:t>加强渠道数据分析。企业应该加强对渠道数据的分析，了解销售业绩的变化趋势和原因，及时调整渠道策略和计划。同时，要建立渠道数据的备份和恢复机制，确保渠道数据的安全性和完整性。</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当企业</w:t>
      </w:r>
      <w:r>
        <w:rPr>
          <w:rFonts w:hint="eastAsia" w:asciiTheme="minorEastAsia" w:hAnsiTheme="minorEastAsia" w:eastAsiaTheme="minorEastAsia" w:cstheme="minorEastAsia"/>
          <w:b w:val="0"/>
          <w:bCs w:val="0"/>
          <w:color w:val="auto"/>
          <w:kern w:val="0"/>
          <w:sz w:val="24"/>
          <w:szCs w:val="24"/>
          <w:lang w:val="en-US" w:eastAsia="zh-CN" w:bidi="ar"/>
        </w:rPr>
        <w:t>出现消费者权益保护风险时，应立即响应，对问题进行调查，并采取措施防止问题扩大。对于已经发生的侵权行为，企业应主动公开道歉。根据消费者的损失情况，提供合理的补偿，包括退款、换货、赔偿等，以恢复消费者的权益。针对发现的问题，企业应改进产品设计、生产流程或服务流程，确保不再发生类似问题。完善内部质量控制和风险管理机制，加强员工培训，提高对消费者权益保护的意识。通过公开透明的沟通，向消费者和公众说明问题的原因、影响范围、解决措施和预防措施。建立或完善投诉处理机制，在必要时，寻求法律专家的咨询，确保企业的补救措施符合相关法律法规的要求。主动与相关监管机构沟通，报告问题和补救措施，寻求指导和支持。制定长期的改进计划，包括定期的消费者权益保护审查和风险评估，确保企业持续改进。</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default"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bidi="ar"/>
        </w:rPr>
        <w:t>当企业</w:t>
      </w:r>
      <w:r>
        <w:rPr>
          <w:rFonts w:hint="eastAsia" w:asciiTheme="minorEastAsia" w:hAnsiTheme="minorEastAsia" w:eastAsiaTheme="minorEastAsia" w:cstheme="minorEastAsia"/>
          <w:b w:val="0"/>
          <w:bCs w:val="0"/>
          <w:color w:val="auto"/>
          <w:kern w:val="0"/>
          <w:sz w:val="24"/>
          <w:szCs w:val="24"/>
          <w:lang w:val="en-US" w:eastAsia="zh-CN" w:bidi="ar"/>
        </w:rPr>
        <w:t>出现</w:t>
      </w:r>
      <w:r>
        <w:rPr>
          <w:rFonts w:hint="eastAsia" w:asciiTheme="minorEastAsia" w:hAnsiTheme="minorEastAsia" w:cstheme="minorEastAsia"/>
          <w:b w:val="0"/>
          <w:bCs w:val="0"/>
          <w:color w:val="auto"/>
          <w:kern w:val="0"/>
          <w:sz w:val="24"/>
          <w:szCs w:val="24"/>
          <w:lang w:val="en-US" w:eastAsia="zh-CN" w:bidi="ar"/>
        </w:rPr>
        <w:t>企业社会责任</w:t>
      </w:r>
      <w:r>
        <w:rPr>
          <w:rFonts w:hint="eastAsia" w:asciiTheme="minorEastAsia" w:hAnsiTheme="minorEastAsia" w:eastAsiaTheme="minorEastAsia" w:cstheme="minorEastAsia"/>
          <w:b w:val="0"/>
          <w:bCs w:val="0"/>
          <w:color w:val="auto"/>
          <w:kern w:val="0"/>
          <w:sz w:val="24"/>
          <w:szCs w:val="24"/>
          <w:lang w:val="en-US" w:eastAsia="zh-CN" w:bidi="ar"/>
        </w:rPr>
        <w:t>风险时</w:t>
      </w:r>
      <w:r>
        <w:rPr>
          <w:rFonts w:hint="eastAsia" w:asciiTheme="minorEastAsia" w:hAnsiTheme="minorEastAsia" w:cstheme="minorEastAsia"/>
          <w:b w:val="0"/>
          <w:bCs w:val="0"/>
          <w:color w:val="auto"/>
          <w:kern w:val="0"/>
          <w:sz w:val="24"/>
          <w:szCs w:val="24"/>
          <w:lang w:val="en-US" w:eastAsia="zh-CN" w:bidi="ar"/>
        </w:rPr>
        <w:t>，</w:t>
      </w:r>
      <w:r>
        <w:rPr>
          <w:rFonts w:hint="eastAsia" w:asciiTheme="minorEastAsia" w:hAnsiTheme="minorEastAsia" w:eastAsiaTheme="minorEastAsia" w:cstheme="minorEastAsia"/>
          <w:b w:val="0"/>
          <w:bCs w:val="0"/>
          <w:color w:val="auto"/>
          <w:kern w:val="0"/>
          <w:sz w:val="24"/>
          <w:szCs w:val="24"/>
          <w:lang w:val="en-US" w:eastAsia="zh-CN" w:bidi="ar"/>
        </w:rPr>
        <w:t>应迅速对社会责任风险做出反应，评估风险的严重程度和影响范围，并向相关利益相关方通报情况。通过公开渠道，如新闻发布、社交媒体等，向公众和利益相关方透明地沟通问题的性质、影响、原因以及企业的应对措施。根据风险的性质，制定详细的行动计划，包括短期应对措施和长期改进策略，确保问题得到有效解决。如果企业的行为对利益相关方造成了损失，应提供适当的补偿或赔偿，以恢复受影响方的利益。对内部流程和政策进行审查，找出导致风险的内部管理缺陷，并采取措施加强管理，防止类似事件再次发生。如果问题与企业的产品和服务有关，应进行必要的改进，确保它们符合社会责任标准和法律法规要求。加强员工对企业社会责任的培训，提高他们对社会责任重要性的认识，并确保他们了解如何在日常工作中履行这些责任。与受影响的利益相关方进行对话，了解他们的关切和期望，并在可能的情况下寻求他们的参与和支持，共同解决问题。向公众和利益相关方定期报告问题解决的进展情况，展示企业的透明度和责任感。建立或完善企业社会责任管理体系，确保企业在战略规划、日常运营和决策过程中充分考虑社会责任因素。</w:t>
      </w:r>
    </w:p>
    <w:p>
      <w:pPr>
        <w:pStyle w:val="2"/>
        <w:pageBreakBefore w:val="0"/>
        <w:kinsoku/>
        <w:wordWrap/>
        <w:overflowPunct/>
        <w:topLinePunct w:val="0"/>
        <w:autoSpaceDE/>
        <w:autoSpaceDN/>
        <w:bidi w:val="0"/>
        <w:adjustRightInd/>
        <w:snapToGrid/>
        <w:spacing w:line="420" w:lineRule="exact"/>
        <w:textAlignment w:val="auto"/>
        <w:outlineLvl w:val="0"/>
        <w:rPr>
          <w:rFonts w:hint="default" w:ascii="方正公文黑体" w:hAnsi="方正公文黑体" w:eastAsia="方正公文黑体" w:cs="方正公文黑体"/>
          <w:sz w:val="28"/>
          <w:szCs w:val="28"/>
          <w:lang w:val="en-US" w:eastAsia="zh-CN"/>
        </w:rPr>
      </w:pPr>
      <w:bookmarkStart w:id="123" w:name="_Toc32280"/>
      <w:r>
        <w:rPr>
          <w:rFonts w:hint="eastAsia" w:ascii="方正公文黑体" w:hAnsi="方正公文黑体" w:eastAsia="方正公文黑体" w:cs="方正公文黑体"/>
          <w:sz w:val="28"/>
          <w:szCs w:val="28"/>
          <w:lang w:val="en-US" w:eastAsia="zh-CN"/>
        </w:rPr>
        <w:t>第6章 尽责管理中的人权保护</w:t>
      </w:r>
      <w:bookmarkEnd w:id="123"/>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default" w:asciiTheme="minorEastAsia" w:hAnsiTheme="minorEastAsia" w:eastAsiaTheme="minorEastAsia" w:cstheme="minorEastAsia"/>
          <w:b w:val="0"/>
          <w:bCs w:val="0"/>
          <w:color w:val="auto"/>
          <w:kern w:val="0"/>
          <w:sz w:val="24"/>
          <w:szCs w:val="24"/>
          <w:lang w:val="en-US" w:eastAsia="zh-CN" w:bidi="ar"/>
        </w:rPr>
        <w:t>基于</w:t>
      </w:r>
      <w:r>
        <w:rPr>
          <w:rFonts w:hint="eastAsia" w:asciiTheme="minorEastAsia" w:hAnsiTheme="minorEastAsia" w:eastAsiaTheme="minorEastAsia" w:cstheme="minorEastAsia"/>
          <w:b w:val="0"/>
          <w:bCs w:val="0"/>
          <w:color w:val="auto"/>
          <w:kern w:val="0"/>
          <w:sz w:val="24"/>
          <w:szCs w:val="24"/>
          <w:lang w:val="en-US" w:eastAsia="zh-CN" w:bidi="ar"/>
        </w:rPr>
        <w:t>白酒</w:t>
      </w:r>
      <w:r>
        <w:rPr>
          <w:rFonts w:hint="default" w:asciiTheme="minorEastAsia" w:hAnsiTheme="minorEastAsia" w:eastAsiaTheme="minorEastAsia" w:cstheme="minorEastAsia"/>
          <w:b w:val="0"/>
          <w:bCs w:val="0"/>
          <w:color w:val="auto"/>
          <w:kern w:val="0"/>
          <w:sz w:val="24"/>
          <w:szCs w:val="24"/>
          <w:lang w:val="en-US" w:eastAsia="zh-CN" w:bidi="ar"/>
        </w:rPr>
        <w:t>供应链尽责管理的一般原则和国际标准，</w:t>
      </w:r>
      <w:r>
        <w:rPr>
          <w:rFonts w:hint="eastAsia" w:asciiTheme="minorEastAsia" w:hAnsiTheme="minorEastAsia" w:eastAsiaTheme="minorEastAsia" w:cstheme="minorEastAsia"/>
          <w:b w:val="0"/>
          <w:bCs w:val="0"/>
          <w:color w:val="auto"/>
          <w:kern w:val="0"/>
          <w:sz w:val="24"/>
          <w:szCs w:val="24"/>
          <w:lang w:val="en-US" w:eastAsia="zh-CN" w:bidi="ar"/>
        </w:rPr>
        <w:t>参照</w:t>
      </w:r>
      <w:r>
        <w:rPr>
          <w:rFonts w:hint="default" w:asciiTheme="minorEastAsia" w:hAnsiTheme="minorEastAsia" w:eastAsiaTheme="minorEastAsia" w:cstheme="minorEastAsia"/>
          <w:b w:val="0"/>
          <w:bCs w:val="0"/>
          <w:color w:val="auto"/>
          <w:kern w:val="0"/>
          <w:sz w:val="24"/>
          <w:szCs w:val="24"/>
          <w:lang w:val="en-US" w:eastAsia="zh-CN" w:bidi="ar"/>
        </w:rPr>
        <w:t>联合国全球契约和国际劳工组织（ILO）的指导方针，白酒供应链</w:t>
      </w:r>
      <w:r>
        <w:rPr>
          <w:rFonts w:hint="eastAsia" w:asciiTheme="minorEastAsia" w:hAnsiTheme="minorEastAsia" w:eastAsiaTheme="minorEastAsia" w:cstheme="minorEastAsia"/>
          <w:b w:val="0"/>
          <w:bCs w:val="0"/>
          <w:color w:val="auto"/>
          <w:kern w:val="0"/>
          <w:sz w:val="24"/>
          <w:szCs w:val="24"/>
          <w:lang w:val="en-US" w:eastAsia="zh-CN" w:bidi="ar"/>
        </w:rPr>
        <w:t>尽责</w:t>
      </w:r>
      <w:r>
        <w:rPr>
          <w:rFonts w:hint="default" w:asciiTheme="minorEastAsia" w:hAnsiTheme="minorEastAsia" w:eastAsiaTheme="minorEastAsia" w:cstheme="minorEastAsia"/>
          <w:b w:val="0"/>
          <w:bCs w:val="0"/>
          <w:color w:val="auto"/>
          <w:kern w:val="0"/>
          <w:sz w:val="24"/>
          <w:szCs w:val="24"/>
          <w:lang w:val="en-US" w:eastAsia="zh-CN" w:bidi="ar"/>
        </w:rPr>
        <w:t>管理</w:t>
      </w:r>
      <w:r>
        <w:rPr>
          <w:rFonts w:hint="eastAsia" w:asciiTheme="minorEastAsia" w:hAnsiTheme="minorEastAsia" w:eastAsiaTheme="minorEastAsia" w:cstheme="minorEastAsia"/>
          <w:b w:val="0"/>
          <w:bCs w:val="0"/>
          <w:color w:val="auto"/>
          <w:kern w:val="0"/>
          <w:sz w:val="24"/>
          <w:szCs w:val="24"/>
          <w:lang w:val="en-US" w:eastAsia="zh-CN" w:bidi="ar"/>
        </w:rPr>
        <w:t>从以下几个关键领域关注人权。</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1.</w:t>
      </w:r>
      <w:r>
        <w:rPr>
          <w:rFonts w:hint="default" w:asciiTheme="minorEastAsia" w:hAnsiTheme="minorEastAsia" w:eastAsiaTheme="minorEastAsia" w:cstheme="minorEastAsia"/>
          <w:b w:val="0"/>
          <w:bCs w:val="0"/>
          <w:color w:val="auto"/>
          <w:kern w:val="0"/>
          <w:sz w:val="24"/>
          <w:szCs w:val="24"/>
          <w:lang w:val="en-US" w:eastAsia="zh-CN" w:bidi="ar"/>
        </w:rPr>
        <w:t>保障</w:t>
      </w:r>
      <w:r>
        <w:rPr>
          <w:rFonts w:hint="eastAsia" w:asciiTheme="minorEastAsia" w:hAnsiTheme="minorEastAsia" w:eastAsiaTheme="minorEastAsia" w:cstheme="minorEastAsia"/>
          <w:b w:val="0"/>
          <w:bCs w:val="0"/>
          <w:color w:val="auto"/>
          <w:kern w:val="0"/>
          <w:sz w:val="24"/>
          <w:szCs w:val="24"/>
          <w:lang w:val="en-US" w:eastAsia="zh-CN" w:bidi="ar"/>
        </w:rPr>
        <w:t>白酒</w:t>
      </w:r>
      <w:r>
        <w:rPr>
          <w:rFonts w:hint="default" w:asciiTheme="minorEastAsia" w:hAnsiTheme="minorEastAsia" w:eastAsiaTheme="minorEastAsia" w:cstheme="minorEastAsia"/>
          <w:b w:val="0"/>
          <w:bCs w:val="0"/>
          <w:color w:val="auto"/>
          <w:kern w:val="0"/>
          <w:sz w:val="24"/>
          <w:szCs w:val="24"/>
          <w:lang w:val="en-US" w:eastAsia="zh-CN" w:bidi="ar"/>
        </w:rPr>
        <w:t>供应链中的</w:t>
      </w:r>
      <w:r>
        <w:rPr>
          <w:rFonts w:hint="eastAsia" w:asciiTheme="minorEastAsia" w:hAnsiTheme="minorEastAsia" w:cstheme="minorEastAsia"/>
          <w:b w:val="0"/>
          <w:bCs w:val="0"/>
          <w:color w:val="auto"/>
          <w:kern w:val="0"/>
          <w:sz w:val="24"/>
          <w:szCs w:val="24"/>
          <w:lang w:val="en-US" w:eastAsia="zh-CN" w:bidi="ar"/>
        </w:rPr>
        <w:t>种植户和</w:t>
      </w:r>
      <w:r>
        <w:rPr>
          <w:rFonts w:hint="default" w:asciiTheme="minorEastAsia" w:hAnsiTheme="minorEastAsia" w:eastAsiaTheme="minorEastAsia" w:cstheme="minorEastAsia"/>
          <w:b w:val="0"/>
          <w:bCs w:val="0"/>
          <w:color w:val="auto"/>
          <w:kern w:val="0"/>
          <w:sz w:val="24"/>
          <w:szCs w:val="24"/>
          <w:lang w:val="en-US" w:eastAsia="zh-CN" w:bidi="ar"/>
        </w:rPr>
        <w:t>工人享有公正和有尊严的工作条件，包括安全的工作环境、合理的工作时间、足够的休息时间以及公平的薪酬。此外，还应保证</w:t>
      </w:r>
      <w:r>
        <w:rPr>
          <w:rFonts w:hint="eastAsia" w:asciiTheme="minorEastAsia" w:hAnsiTheme="minorEastAsia" w:cstheme="minorEastAsia"/>
          <w:b w:val="0"/>
          <w:bCs w:val="0"/>
          <w:color w:val="auto"/>
          <w:kern w:val="0"/>
          <w:sz w:val="24"/>
          <w:szCs w:val="24"/>
          <w:lang w:val="en-US" w:eastAsia="zh-CN" w:bidi="ar"/>
        </w:rPr>
        <w:t>种植户和</w:t>
      </w:r>
      <w:r>
        <w:rPr>
          <w:rFonts w:hint="default" w:asciiTheme="minorEastAsia" w:hAnsiTheme="minorEastAsia" w:eastAsiaTheme="minorEastAsia" w:cstheme="minorEastAsia"/>
          <w:b w:val="0"/>
          <w:bCs w:val="0"/>
          <w:color w:val="auto"/>
          <w:kern w:val="0"/>
          <w:sz w:val="24"/>
          <w:szCs w:val="24"/>
          <w:lang w:val="en-US" w:eastAsia="zh-CN" w:bidi="ar"/>
        </w:rPr>
        <w:t>工人集体谈判权利。</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2.</w:t>
      </w:r>
      <w:r>
        <w:rPr>
          <w:rFonts w:hint="default" w:asciiTheme="minorEastAsia" w:hAnsiTheme="minorEastAsia" w:eastAsiaTheme="minorEastAsia" w:cstheme="minorEastAsia"/>
          <w:b w:val="0"/>
          <w:bCs w:val="0"/>
          <w:color w:val="auto"/>
          <w:kern w:val="0"/>
          <w:sz w:val="24"/>
          <w:szCs w:val="24"/>
          <w:lang w:val="en-US" w:eastAsia="zh-CN" w:bidi="ar"/>
        </w:rPr>
        <w:t>确保</w:t>
      </w:r>
      <w:r>
        <w:rPr>
          <w:rFonts w:hint="eastAsia" w:asciiTheme="minorEastAsia" w:hAnsiTheme="minorEastAsia" w:eastAsiaTheme="minorEastAsia" w:cstheme="minorEastAsia"/>
          <w:b w:val="0"/>
          <w:bCs w:val="0"/>
          <w:color w:val="auto"/>
          <w:kern w:val="0"/>
          <w:sz w:val="24"/>
          <w:szCs w:val="24"/>
          <w:lang w:val="en-US" w:eastAsia="zh-CN" w:bidi="ar"/>
        </w:rPr>
        <w:t>白酒</w:t>
      </w:r>
      <w:r>
        <w:rPr>
          <w:rFonts w:hint="default" w:asciiTheme="minorEastAsia" w:hAnsiTheme="minorEastAsia" w:eastAsiaTheme="minorEastAsia" w:cstheme="minorEastAsia"/>
          <w:b w:val="0"/>
          <w:bCs w:val="0"/>
          <w:color w:val="auto"/>
          <w:kern w:val="0"/>
          <w:sz w:val="24"/>
          <w:szCs w:val="24"/>
          <w:lang w:val="en-US" w:eastAsia="zh-CN" w:bidi="ar"/>
        </w:rPr>
        <w:t>供应链中不存在任何形式的强迫劳动、人口贩卖或童工现象。企业应采取措施识别和减少这些风险，包括通过对供应商的审核和监督。</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3.</w:t>
      </w:r>
      <w:r>
        <w:rPr>
          <w:rFonts w:hint="eastAsia" w:asciiTheme="minorEastAsia" w:hAnsiTheme="minorEastAsia" w:eastAsiaTheme="minorEastAsia" w:cstheme="minorEastAsia"/>
          <w:b w:val="0"/>
          <w:bCs w:val="0"/>
          <w:color w:val="auto"/>
          <w:kern w:val="0"/>
          <w:sz w:val="24"/>
          <w:szCs w:val="24"/>
          <w:lang w:val="en-US" w:eastAsia="zh-CN" w:bidi="ar"/>
        </w:rPr>
        <w:t>确保白酒供应链中</w:t>
      </w:r>
      <w:r>
        <w:rPr>
          <w:rFonts w:hint="default" w:asciiTheme="minorEastAsia" w:hAnsiTheme="minorEastAsia" w:eastAsiaTheme="minorEastAsia" w:cstheme="minorEastAsia"/>
          <w:b w:val="0"/>
          <w:bCs w:val="0"/>
          <w:color w:val="auto"/>
          <w:kern w:val="0"/>
          <w:sz w:val="24"/>
          <w:szCs w:val="24"/>
          <w:lang w:val="en-US" w:eastAsia="zh-CN" w:bidi="ar"/>
        </w:rPr>
        <w:t>的招聘、雇佣、培训和晋升等所有方面保持公平，不因性别、种族、宗教、年龄、残疾、性取向或任何其他状态而歧视员工。</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default"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4.</w:t>
      </w:r>
      <w:r>
        <w:rPr>
          <w:rFonts w:hint="eastAsia" w:asciiTheme="minorEastAsia" w:hAnsiTheme="minorEastAsia" w:eastAsiaTheme="minorEastAsia" w:cstheme="minorEastAsia"/>
          <w:b w:val="0"/>
          <w:bCs w:val="0"/>
          <w:color w:val="auto"/>
          <w:kern w:val="0"/>
          <w:sz w:val="24"/>
          <w:szCs w:val="24"/>
          <w:lang w:val="en-US" w:eastAsia="zh-CN" w:bidi="ar"/>
        </w:rPr>
        <w:t>处于白酒</w:t>
      </w:r>
      <w:r>
        <w:rPr>
          <w:rFonts w:hint="default" w:asciiTheme="minorEastAsia" w:hAnsiTheme="minorEastAsia" w:eastAsiaTheme="minorEastAsia" w:cstheme="minorEastAsia"/>
          <w:b w:val="0"/>
          <w:bCs w:val="0"/>
          <w:color w:val="auto"/>
          <w:kern w:val="0"/>
          <w:sz w:val="24"/>
          <w:szCs w:val="24"/>
          <w:lang w:val="en-US" w:eastAsia="zh-CN" w:bidi="ar"/>
        </w:rPr>
        <w:t>供应链中</w:t>
      </w:r>
      <w:r>
        <w:rPr>
          <w:rFonts w:hint="eastAsia" w:asciiTheme="minorEastAsia" w:hAnsiTheme="minorEastAsia" w:eastAsiaTheme="minorEastAsia" w:cstheme="minorEastAsia"/>
          <w:b w:val="0"/>
          <w:bCs w:val="0"/>
          <w:color w:val="auto"/>
          <w:kern w:val="0"/>
          <w:sz w:val="24"/>
          <w:szCs w:val="24"/>
          <w:lang w:val="en-US" w:eastAsia="zh-CN" w:bidi="ar"/>
        </w:rPr>
        <w:t>的企业为员工</w:t>
      </w:r>
      <w:r>
        <w:rPr>
          <w:rFonts w:hint="default" w:asciiTheme="minorEastAsia" w:hAnsiTheme="minorEastAsia" w:eastAsiaTheme="minorEastAsia" w:cstheme="minorEastAsia"/>
          <w:b w:val="0"/>
          <w:bCs w:val="0"/>
          <w:color w:val="auto"/>
          <w:kern w:val="0"/>
          <w:sz w:val="24"/>
          <w:szCs w:val="24"/>
          <w:lang w:val="en-US" w:eastAsia="zh-CN" w:bidi="ar"/>
        </w:rPr>
        <w:t>提供安全健康的工作环境，预防职业伤害和疾病，特别是在生产过程中可能接触到的有害物质或危险操作。</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default"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5.尊重白酒供应链中消费者的权益包括：知情权、公平交易权、自主选择权、安全报账权、依法求偿权、受尊重权、监督批评权等。</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6.</w:t>
      </w:r>
      <w:r>
        <w:rPr>
          <w:rFonts w:hint="default" w:asciiTheme="minorEastAsia" w:hAnsiTheme="minorEastAsia" w:eastAsiaTheme="minorEastAsia" w:cstheme="minorEastAsia"/>
          <w:b w:val="0"/>
          <w:bCs w:val="0"/>
          <w:color w:val="auto"/>
          <w:kern w:val="0"/>
          <w:sz w:val="24"/>
          <w:szCs w:val="24"/>
          <w:lang w:val="en-US" w:eastAsia="zh-CN" w:bidi="ar"/>
        </w:rPr>
        <w:t>环境保护</w:t>
      </w:r>
      <w:r>
        <w:rPr>
          <w:rFonts w:hint="eastAsia" w:asciiTheme="minorEastAsia" w:hAnsiTheme="minorEastAsia" w:cstheme="minorEastAsia"/>
          <w:b w:val="0"/>
          <w:bCs w:val="0"/>
          <w:color w:val="auto"/>
          <w:kern w:val="0"/>
          <w:sz w:val="24"/>
          <w:szCs w:val="24"/>
          <w:lang w:val="en-US" w:eastAsia="zh-CN" w:bidi="ar"/>
        </w:rPr>
        <w:t>间接影响</w:t>
      </w:r>
      <w:r>
        <w:rPr>
          <w:rFonts w:hint="default" w:asciiTheme="minorEastAsia" w:hAnsiTheme="minorEastAsia" w:eastAsiaTheme="minorEastAsia" w:cstheme="minorEastAsia"/>
          <w:b w:val="0"/>
          <w:bCs w:val="0"/>
          <w:color w:val="auto"/>
          <w:kern w:val="0"/>
          <w:sz w:val="24"/>
          <w:szCs w:val="24"/>
          <w:lang w:val="en-US" w:eastAsia="zh-CN" w:bidi="ar"/>
        </w:rPr>
        <w:t>人权，环境破坏对当地社区的健康和</w:t>
      </w:r>
      <w:r>
        <w:rPr>
          <w:rFonts w:hint="eastAsia" w:asciiTheme="minorEastAsia" w:hAnsiTheme="minorEastAsia" w:eastAsiaTheme="minorEastAsia" w:cstheme="minorEastAsia"/>
          <w:b w:val="0"/>
          <w:bCs w:val="0"/>
          <w:color w:val="auto"/>
          <w:kern w:val="0"/>
          <w:sz w:val="24"/>
          <w:szCs w:val="24"/>
          <w:lang w:val="en-US" w:eastAsia="zh-CN" w:bidi="ar"/>
        </w:rPr>
        <w:t>幸福</w:t>
      </w:r>
      <w:r>
        <w:rPr>
          <w:rFonts w:hint="default" w:asciiTheme="minorEastAsia" w:hAnsiTheme="minorEastAsia" w:eastAsiaTheme="minorEastAsia" w:cstheme="minorEastAsia"/>
          <w:b w:val="0"/>
          <w:bCs w:val="0"/>
          <w:color w:val="auto"/>
          <w:kern w:val="0"/>
          <w:sz w:val="24"/>
          <w:szCs w:val="24"/>
          <w:lang w:val="en-US" w:eastAsia="zh-CN" w:bidi="ar"/>
        </w:rPr>
        <w:t>有直接影响，因此，负责任地</w:t>
      </w:r>
      <w:r>
        <w:rPr>
          <w:rFonts w:hint="eastAsia" w:asciiTheme="minorEastAsia" w:hAnsiTheme="minorEastAsia" w:cstheme="minorEastAsia"/>
          <w:b w:val="0"/>
          <w:bCs w:val="0"/>
          <w:color w:val="auto"/>
          <w:kern w:val="0"/>
          <w:sz w:val="24"/>
          <w:szCs w:val="24"/>
          <w:lang w:val="en-US" w:eastAsia="zh-CN" w:bidi="ar"/>
        </w:rPr>
        <w:t>治理</w:t>
      </w:r>
      <w:r>
        <w:rPr>
          <w:rFonts w:hint="default" w:asciiTheme="minorEastAsia" w:hAnsiTheme="minorEastAsia" w:eastAsiaTheme="minorEastAsia" w:cstheme="minorEastAsia"/>
          <w:b w:val="0"/>
          <w:bCs w:val="0"/>
          <w:color w:val="auto"/>
          <w:kern w:val="0"/>
          <w:sz w:val="24"/>
          <w:szCs w:val="24"/>
          <w:lang w:val="en-US" w:eastAsia="zh-CN" w:bidi="ar"/>
        </w:rPr>
        <w:t>环境被视为尊重人权的一部分。</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7.</w:t>
      </w:r>
      <w:r>
        <w:rPr>
          <w:rFonts w:hint="default" w:asciiTheme="minorEastAsia" w:hAnsiTheme="minorEastAsia" w:eastAsiaTheme="minorEastAsia" w:cstheme="minorEastAsia"/>
          <w:b w:val="0"/>
          <w:bCs w:val="0"/>
          <w:color w:val="auto"/>
          <w:kern w:val="0"/>
          <w:sz w:val="24"/>
          <w:szCs w:val="24"/>
          <w:lang w:val="en-US" w:eastAsia="zh-CN" w:bidi="ar"/>
        </w:rPr>
        <w:t>尊重</w:t>
      </w:r>
      <w:r>
        <w:rPr>
          <w:rFonts w:hint="eastAsia" w:asciiTheme="minorEastAsia" w:hAnsiTheme="minorEastAsia" w:eastAsiaTheme="minorEastAsia" w:cstheme="minorEastAsia"/>
          <w:b w:val="0"/>
          <w:bCs w:val="0"/>
          <w:color w:val="auto"/>
          <w:kern w:val="0"/>
          <w:sz w:val="24"/>
          <w:szCs w:val="24"/>
          <w:lang w:val="en-US" w:eastAsia="zh-CN" w:bidi="ar"/>
        </w:rPr>
        <w:t>白酒</w:t>
      </w:r>
      <w:r>
        <w:rPr>
          <w:rFonts w:hint="default" w:asciiTheme="minorEastAsia" w:hAnsiTheme="minorEastAsia" w:eastAsiaTheme="minorEastAsia" w:cstheme="minorEastAsia"/>
          <w:b w:val="0"/>
          <w:bCs w:val="0"/>
          <w:color w:val="auto"/>
          <w:kern w:val="0"/>
          <w:sz w:val="24"/>
          <w:szCs w:val="24"/>
          <w:lang w:val="en-US" w:eastAsia="zh-CN" w:bidi="ar"/>
        </w:rPr>
        <w:t>供应链</w:t>
      </w:r>
      <w:r>
        <w:rPr>
          <w:rFonts w:hint="eastAsia" w:asciiTheme="minorEastAsia" w:hAnsiTheme="minorEastAsia" w:eastAsiaTheme="minorEastAsia" w:cstheme="minorEastAsia"/>
          <w:b w:val="0"/>
          <w:bCs w:val="0"/>
          <w:color w:val="auto"/>
          <w:kern w:val="0"/>
          <w:sz w:val="24"/>
          <w:szCs w:val="24"/>
          <w:lang w:val="en-US" w:eastAsia="zh-CN" w:bidi="ar"/>
        </w:rPr>
        <w:t>中任何</w:t>
      </w:r>
      <w:r>
        <w:rPr>
          <w:rFonts w:hint="default" w:asciiTheme="minorEastAsia" w:hAnsiTheme="minorEastAsia" w:eastAsiaTheme="minorEastAsia" w:cstheme="minorEastAsia"/>
          <w:b w:val="0"/>
          <w:bCs w:val="0"/>
          <w:color w:val="auto"/>
          <w:kern w:val="0"/>
          <w:sz w:val="24"/>
          <w:szCs w:val="24"/>
          <w:lang w:val="en-US" w:eastAsia="zh-CN" w:bidi="ar"/>
        </w:rPr>
        <w:t>操作可能影响的社区和</w:t>
      </w:r>
      <w:r>
        <w:rPr>
          <w:rFonts w:hint="eastAsia" w:asciiTheme="minorEastAsia" w:hAnsiTheme="minorEastAsia" w:cstheme="minorEastAsia"/>
          <w:b w:val="0"/>
          <w:bCs w:val="0"/>
          <w:color w:val="auto"/>
          <w:kern w:val="0"/>
          <w:sz w:val="24"/>
          <w:szCs w:val="24"/>
          <w:lang w:val="en-US" w:eastAsia="zh-CN" w:bidi="ar"/>
        </w:rPr>
        <w:t>本地居住</w:t>
      </w:r>
      <w:r>
        <w:rPr>
          <w:rFonts w:hint="default" w:asciiTheme="minorEastAsia" w:hAnsiTheme="minorEastAsia" w:eastAsiaTheme="minorEastAsia" w:cstheme="minorEastAsia"/>
          <w:b w:val="0"/>
          <w:bCs w:val="0"/>
          <w:color w:val="auto"/>
          <w:kern w:val="0"/>
          <w:sz w:val="24"/>
          <w:szCs w:val="24"/>
          <w:lang w:val="en-US" w:eastAsia="zh-CN" w:bidi="ar"/>
        </w:rPr>
        <w:t>人民的权利，包括对土地、资源和文化的权利，避免对他们的生活方式造成不利影响。</w:t>
      </w:r>
    </w:p>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default"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8.</w:t>
      </w:r>
      <w:r>
        <w:rPr>
          <w:rFonts w:hint="default" w:asciiTheme="minorEastAsia" w:hAnsiTheme="minorEastAsia" w:eastAsiaTheme="minorEastAsia" w:cstheme="minorEastAsia"/>
          <w:b w:val="0"/>
          <w:bCs w:val="0"/>
          <w:color w:val="auto"/>
          <w:kern w:val="0"/>
          <w:sz w:val="24"/>
          <w:szCs w:val="24"/>
          <w:lang w:val="en-US" w:eastAsia="zh-CN" w:bidi="ar"/>
        </w:rPr>
        <w:t>通过建立透明的</w:t>
      </w:r>
      <w:r>
        <w:rPr>
          <w:rFonts w:hint="eastAsia" w:asciiTheme="minorEastAsia" w:hAnsiTheme="minorEastAsia" w:eastAsiaTheme="minorEastAsia" w:cstheme="minorEastAsia"/>
          <w:b w:val="0"/>
          <w:bCs w:val="0"/>
          <w:color w:val="auto"/>
          <w:kern w:val="0"/>
          <w:sz w:val="24"/>
          <w:szCs w:val="24"/>
          <w:lang w:val="en-US" w:eastAsia="zh-CN" w:bidi="ar"/>
        </w:rPr>
        <w:t>白酒</w:t>
      </w:r>
      <w:r>
        <w:rPr>
          <w:rFonts w:hint="default" w:asciiTheme="minorEastAsia" w:hAnsiTheme="minorEastAsia" w:eastAsiaTheme="minorEastAsia" w:cstheme="minorEastAsia"/>
          <w:b w:val="0"/>
          <w:bCs w:val="0"/>
          <w:color w:val="auto"/>
          <w:kern w:val="0"/>
          <w:sz w:val="24"/>
          <w:szCs w:val="24"/>
          <w:lang w:val="en-US" w:eastAsia="zh-CN" w:bidi="ar"/>
        </w:rPr>
        <w:t>供应链管理机制和有效的</w:t>
      </w:r>
      <w:r>
        <w:rPr>
          <w:rFonts w:hint="eastAsia" w:asciiTheme="minorEastAsia" w:hAnsiTheme="minorEastAsia" w:cstheme="minorEastAsia"/>
          <w:b w:val="0"/>
          <w:bCs w:val="0"/>
          <w:color w:val="auto"/>
          <w:kern w:val="0"/>
          <w:sz w:val="24"/>
          <w:szCs w:val="24"/>
          <w:lang w:val="en-US" w:eastAsia="zh-CN" w:bidi="ar"/>
        </w:rPr>
        <w:t>申</w:t>
      </w:r>
      <w:r>
        <w:rPr>
          <w:rFonts w:hint="default" w:asciiTheme="minorEastAsia" w:hAnsiTheme="minorEastAsia" w:eastAsiaTheme="minorEastAsia" w:cstheme="minorEastAsia"/>
          <w:b w:val="0"/>
          <w:bCs w:val="0"/>
          <w:color w:val="auto"/>
          <w:kern w:val="0"/>
          <w:sz w:val="24"/>
          <w:szCs w:val="24"/>
          <w:lang w:val="en-US" w:eastAsia="zh-CN" w:bidi="ar"/>
        </w:rPr>
        <w:t>诉解决机制，</w:t>
      </w:r>
      <w:r>
        <w:rPr>
          <w:rFonts w:hint="eastAsia" w:asciiTheme="minorEastAsia" w:hAnsiTheme="minorEastAsia" w:cstheme="minorEastAsia"/>
          <w:b w:val="0"/>
          <w:bCs w:val="0"/>
          <w:color w:val="auto"/>
          <w:kern w:val="0"/>
          <w:sz w:val="24"/>
          <w:szCs w:val="24"/>
          <w:lang w:val="en-US" w:eastAsia="zh-CN" w:bidi="ar"/>
        </w:rPr>
        <w:t>使</w:t>
      </w:r>
      <w:r>
        <w:rPr>
          <w:rFonts w:hint="default" w:asciiTheme="minorEastAsia" w:hAnsiTheme="minorEastAsia" w:eastAsiaTheme="minorEastAsia" w:cstheme="minorEastAsia"/>
          <w:b w:val="0"/>
          <w:bCs w:val="0"/>
          <w:color w:val="auto"/>
          <w:kern w:val="0"/>
          <w:sz w:val="24"/>
          <w:szCs w:val="24"/>
          <w:lang w:val="en-US" w:eastAsia="zh-CN" w:bidi="ar"/>
        </w:rPr>
        <w:t>企业对</w:t>
      </w:r>
      <w:r>
        <w:rPr>
          <w:rFonts w:hint="eastAsia" w:asciiTheme="minorEastAsia" w:hAnsiTheme="minorEastAsia" w:eastAsiaTheme="minorEastAsia" w:cstheme="minorEastAsia"/>
          <w:b w:val="0"/>
          <w:bCs w:val="0"/>
          <w:color w:val="auto"/>
          <w:kern w:val="0"/>
          <w:sz w:val="24"/>
          <w:szCs w:val="24"/>
          <w:lang w:val="en-US" w:eastAsia="zh-CN" w:bidi="ar"/>
        </w:rPr>
        <w:t>白酒</w:t>
      </w:r>
      <w:r>
        <w:rPr>
          <w:rFonts w:hint="default" w:asciiTheme="minorEastAsia" w:hAnsiTheme="minorEastAsia" w:eastAsiaTheme="minorEastAsia" w:cstheme="minorEastAsia"/>
          <w:b w:val="0"/>
          <w:bCs w:val="0"/>
          <w:color w:val="auto"/>
          <w:kern w:val="0"/>
          <w:sz w:val="24"/>
          <w:szCs w:val="24"/>
          <w:lang w:val="en-US" w:eastAsia="zh-CN" w:bidi="ar"/>
        </w:rPr>
        <w:t>供应链中的人权</w:t>
      </w:r>
      <w:r>
        <w:rPr>
          <w:rFonts w:hint="eastAsia" w:asciiTheme="minorEastAsia" w:hAnsiTheme="minorEastAsia" w:cstheme="minorEastAsia"/>
          <w:b w:val="0"/>
          <w:bCs w:val="0"/>
          <w:color w:val="auto"/>
          <w:kern w:val="0"/>
          <w:sz w:val="24"/>
          <w:szCs w:val="24"/>
          <w:lang w:val="en-US" w:eastAsia="zh-CN" w:bidi="ar"/>
        </w:rPr>
        <w:t>问题</w:t>
      </w:r>
      <w:r>
        <w:rPr>
          <w:rFonts w:hint="default" w:asciiTheme="minorEastAsia" w:hAnsiTheme="minorEastAsia" w:eastAsiaTheme="minorEastAsia" w:cstheme="minorEastAsia"/>
          <w:b w:val="0"/>
          <w:bCs w:val="0"/>
          <w:color w:val="auto"/>
          <w:kern w:val="0"/>
          <w:sz w:val="24"/>
          <w:szCs w:val="24"/>
          <w:lang w:val="en-US" w:eastAsia="zh-CN" w:bidi="ar"/>
        </w:rPr>
        <w:t>负责。</w:t>
      </w:r>
    </w:p>
    <w:p>
      <w:pPr>
        <w:pStyle w:val="2"/>
        <w:pageBreakBefore w:val="0"/>
        <w:kinsoku/>
        <w:wordWrap/>
        <w:overflowPunct/>
        <w:topLinePunct w:val="0"/>
        <w:autoSpaceDE/>
        <w:autoSpaceDN/>
        <w:bidi w:val="0"/>
        <w:adjustRightInd/>
        <w:snapToGrid/>
        <w:spacing w:line="420" w:lineRule="exact"/>
        <w:textAlignment w:val="auto"/>
        <w:outlineLvl w:val="0"/>
        <w:rPr>
          <w:rFonts w:hint="eastAsia" w:ascii="方正公文黑体" w:hAnsi="方正公文黑体" w:eastAsia="方正公文黑体" w:cs="方正公文黑体"/>
          <w:sz w:val="28"/>
          <w:szCs w:val="28"/>
          <w:lang w:val="en-US" w:eastAsia="zh-CN"/>
        </w:rPr>
      </w:pPr>
      <w:bookmarkStart w:id="124" w:name="_Toc22127"/>
      <w:r>
        <w:rPr>
          <w:rFonts w:hint="eastAsia" w:ascii="方正公文黑体" w:hAnsi="方正公文黑体" w:eastAsia="方正公文黑体" w:cs="方正公文黑体"/>
          <w:sz w:val="28"/>
          <w:szCs w:val="28"/>
          <w:lang w:val="en-US" w:eastAsia="zh-CN"/>
        </w:rPr>
        <w:t>附录：参考的标准</w:t>
      </w:r>
      <w:bookmarkEnd w:id="124"/>
    </w:p>
    <w:p>
      <w:pPr>
        <w:keepNext w:val="0"/>
        <w:keepLines w:val="0"/>
        <w:pageBreakBefore w:val="0"/>
        <w:widowControl/>
        <w:suppressLineNumbers w:val="0"/>
        <w:kinsoku/>
        <w:wordWrap/>
        <w:overflowPunct/>
        <w:topLinePunct w:val="0"/>
        <w:bidi w:val="0"/>
        <w:adjustRightInd/>
        <w:snapToGrid/>
        <w:spacing w:afterAutospacing="0" w:line="440" w:lineRule="exact"/>
        <w:jc w:val="both"/>
        <w:textAlignment w:val="auto"/>
        <w:rPr>
          <w:rFonts w:hint="default"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1.</w:t>
      </w:r>
      <w:r>
        <w:rPr>
          <w:rFonts w:hint="eastAsia" w:asciiTheme="minorEastAsia" w:hAnsiTheme="minorEastAsia" w:eastAsiaTheme="minorEastAsia" w:cstheme="minorEastAsia"/>
          <w:b w:val="0"/>
          <w:bCs w:val="0"/>
          <w:color w:val="auto"/>
          <w:kern w:val="0"/>
          <w:sz w:val="24"/>
          <w:szCs w:val="24"/>
          <w:lang w:val="en-US" w:eastAsia="zh-CN" w:bidi="ar"/>
        </w:rPr>
        <w:t>ISO</w:t>
      </w:r>
      <w:r>
        <w:rPr>
          <w:rFonts w:hint="eastAsia" w:asciiTheme="minorEastAsia" w:hAnsiTheme="minorEastAsia" w:cstheme="minorEastAsia"/>
          <w:b w:val="0"/>
          <w:bCs w:val="0"/>
          <w:color w:val="auto"/>
          <w:kern w:val="0"/>
          <w:sz w:val="24"/>
          <w:szCs w:val="24"/>
          <w:lang w:val="en-US" w:eastAsia="zh-CN" w:bidi="ar"/>
        </w:rPr>
        <w:t>9000、ISO14000、ISO15000等标准</w:t>
      </w:r>
    </w:p>
    <w:p>
      <w:pPr>
        <w:keepNext w:val="0"/>
        <w:keepLines w:val="0"/>
        <w:pageBreakBefore w:val="0"/>
        <w:widowControl/>
        <w:suppressLineNumbers w:val="0"/>
        <w:kinsoku/>
        <w:wordWrap/>
        <w:overflowPunct/>
        <w:topLinePunct w:val="0"/>
        <w:bidi w:val="0"/>
        <w:adjustRightInd/>
        <w:snapToGrid/>
        <w:spacing w:afterAutospacing="0" w:line="440" w:lineRule="exact"/>
        <w:jc w:val="both"/>
        <w:textAlignment w:val="auto"/>
        <w:rPr>
          <w:rFonts w:hint="default" w:asciiTheme="minorEastAsia" w:hAnsi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2.OECD《跨国企业准则》</w:t>
      </w:r>
    </w:p>
    <w:p>
      <w:pPr>
        <w:keepNext w:val="0"/>
        <w:keepLines w:val="0"/>
        <w:pageBreakBefore w:val="0"/>
        <w:widowControl/>
        <w:suppressLineNumbers w:val="0"/>
        <w:kinsoku/>
        <w:wordWrap/>
        <w:overflowPunct/>
        <w:topLinePunct w:val="0"/>
        <w:bidi w:val="0"/>
        <w:adjustRightInd/>
        <w:snapToGrid/>
        <w:spacing w:afterAutospacing="0" w:line="440" w:lineRule="exact"/>
        <w:jc w:val="both"/>
        <w:textAlignment w:val="auto"/>
        <w:rPr>
          <w:rFonts w:hint="eastAsia" w:asciiTheme="minorEastAsia" w:hAnsiTheme="minorEastAsia" w:eastAsia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3.</w:t>
      </w:r>
      <w:r>
        <w:rPr>
          <w:rFonts w:hint="eastAsia" w:asciiTheme="minorEastAsia" w:hAnsiTheme="minorEastAsia" w:eastAsiaTheme="minorEastAsia" w:cstheme="minorEastAsia"/>
          <w:b w:val="0"/>
          <w:bCs w:val="0"/>
          <w:color w:val="auto"/>
          <w:kern w:val="0"/>
          <w:sz w:val="24"/>
          <w:szCs w:val="24"/>
          <w:lang w:val="en-US" w:eastAsia="zh-CN" w:bidi="ar"/>
        </w:rPr>
        <w:t>OECD《经合组织负责任商业行为尽责管理指南》</w:t>
      </w:r>
    </w:p>
    <w:p>
      <w:pPr>
        <w:keepNext w:val="0"/>
        <w:keepLines w:val="0"/>
        <w:pageBreakBefore w:val="0"/>
        <w:widowControl/>
        <w:suppressLineNumbers w:val="0"/>
        <w:kinsoku/>
        <w:wordWrap/>
        <w:overflowPunct/>
        <w:topLinePunct w:val="0"/>
        <w:bidi w:val="0"/>
        <w:adjustRightInd/>
        <w:snapToGrid/>
        <w:spacing w:afterAutospacing="0" w:line="440" w:lineRule="exact"/>
        <w:jc w:val="both"/>
        <w:textAlignment w:val="auto"/>
        <w:rPr>
          <w:rFonts w:hint="eastAsia" w:asciiTheme="minorEastAsia" w:hAnsi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4.</w:t>
      </w:r>
      <w:r>
        <w:rPr>
          <w:rFonts w:hint="eastAsia" w:asciiTheme="minorEastAsia" w:hAnsiTheme="minorEastAsia" w:eastAsiaTheme="minorEastAsia" w:cstheme="minorEastAsia"/>
          <w:b w:val="0"/>
          <w:bCs w:val="0"/>
          <w:color w:val="auto"/>
          <w:kern w:val="0"/>
          <w:sz w:val="24"/>
          <w:szCs w:val="24"/>
          <w:lang w:val="en-US" w:eastAsia="zh-CN" w:bidi="ar"/>
        </w:rPr>
        <w:t>联合国</w:t>
      </w:r>
      <w:r>
        <w:rPr>
          <w:rFonts w:hint="eastAsia" w:asciiTheme="minorEastAsia" w:hAnsiTheme="minorEastAsia" w:cstheme="minorEastAsia"/>
          <w:b w:val="0"/>
          <w:bCs w:val="0"/>
          <w:color w:val="auto"/>
          <w:kern w:val="0"/>
          <w:sz w:val="24"/>
          <w:szCs w:val="24"/>
          <w:lang w:val="en-US" w:eastAsia="zh-CN" w:bidi="ar"/>
        </w:rPr>
        <w:t>国</w:t>
      </w:r>
      <w:r>
        <w:rPr>
          <w:rFonts w:hint="eastAsia" w:asciiTheme="minorEastAsia" w:hAnsiTheme="minorEastAsia" w:eastAsiaTheme="minorEastAsia" w:cstheme="minorEastAsia"/>
          <w:b w:val="0"/>
          <w:bCs w:val="0"/>
          <w:color w:val="auto"/>
          <w:kern w:val="0"/>
          <w:sz w:val="24"/>
          <w:szCs w:val="24"/>
          <w:lang w:val="en-US" w:eastAsia="zh-CN" w:bidi="ar"/>
        </w:rPr>
        <w:t>际劳工组织可持续发展</w:t>
      </w:r>
      <w:r>
        <w:rPr>
          <w:rFonts w:hint="eastAsia" w:asciiTheme="minorEastAsia" w:hAnsiTheme="minorEastAsia" w:cstheme="minorEastAsia"/>
          <w:b w:val="0"/>
          <w:bCs w:val="0"/>
          <w:color w:val="auto"/>
          <w:kern w:val="0"/>
          <w:sz w:val="24"/>
          <w:szCs w:val="24"/>
          <w:lang w:val="en-US" w:eastAsia="zh-CN" w:bidi="ar"/>
        </w:rPr>
        <w:t>目标</w:t>
      </w:r>
    </w:p>
    <w:p>
      <w:pPr>
        <w:keepNext w:val="0"/>
        <w:keepLines w:val="0"/>
        <w:pageBreakBefore w:val="0"/>
        <w:widowControl/>
        <w:suppressLineNumbers w:val="0"/>
        <w:kinsoku/>
        <w:wordWrap/>
        <w:overflowPunct/>
        <w:topLinePunct w:val="0"/>
        <w:bidi w:val="0"/>
        <w:adjustRightInd/>
        <w:snapToGrid/>
        <w:spacing w:afterAutospacing="0" w:line="440" w:lineRule="exact"/>
        <w:jc w:val="both"/>
        <w:textAlignment w:val="auto"/>
        <w:rPr>
          <w:rFonts w:hint="default" w:asciiTheme="minorEastAsia" w:hAnsi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5.</w:t>
      </w:r>
      <w:r>
        <w:rPr>
          <w:rFonts w:hint="eastAsia"/>
          <w:sz w:val="24"/>
          <w:szCs w:val="24"/>
          <w:lang w:val="en-US" w:eastAsia="zh-CN"/>
        </w:rPr>
        <w:t>《工商业与人权：实施联合国“保护、尊重和补救”框架指导原则》</w:t>
      </w:r>
    </w:p>
    <w:p>
      <w:pPr>
        <w:keepNext w:val="0"/>
        <w:keepLines w:val="0"/>
        <w:pageBreakBefore w:val="0"/>
        <w:widowControl/>
        <w:suppressLineNumbers w:val="0"/>
        <w:kinsoku/>
        <w:wordWrap/>
        <w:overflowPunct/>
        <w:topLinePunct w:val="0"/>
        <w:bidi w:val="0"/>
        <w:adjustRightInd/>
        <w:snapToGrid/>
        <w:spacing w:afterAutospacing="0" w:line="440" w:lineRule="exact"/>
        <w:jc w:val="both"/>
        <w:textAlignment w:val="auto"/>
        <w:rPr>
          <w:rFonts w:hint="eastAsia" w:asciiTheme="minorEastAsia" w:hAnsi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6.GB/T 41835-2022《可持续采购指南》</w:t>
      </w:r>
    </w:p>
    <w:p>
      <w:pPr>
        <w:keepNext w:val="0"/>
        <w:keepLines w:val="0"/>
        <w:pageBreakBefore w:val="0"/>
        <w:widowControl/>
        <w:suppressLineNumbers w:val="0"/>
        <w:kinsoku/>
        <w:wordWrap/>
        <w:overflowPunct/>
        <w:topLinePunct w:val="0"/>
        <w:bidi w:val="0"/>
        <w:adjustRightInd/>
        <w:snapToGrid/>
        <w:spacing w:afterAutospacing="0" w:line="440" w:lineRule="exact"/>
        <w:jc w:val="both"/>
        <w:textAlignment w:val="auto"/>
        <w:rPr>
          <w:rFonts w:hint="eastAsia" w:asciiTheme="minorEastAsia" w:hAnsi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7.水、环境相关标准</w:t>
      </w:r>
    </w:p>
    <w:p>
      <w:pPr>
        <w:keepNext w:val="0"/>
        <w:keepLines w:val="0"/>
        <w:pageBreakBefore w:val="0"/>
        <w:widowControl/>
        <w:suppressLineNumbers w:val="0"/>
        <w:kinsoku/>
        <w:wordWrap/>
        <w:overflowPunct/>
        <w:topLinePunct w:val="0"/>
        <w:bidi w:val="0"/>
        <w:adjustRightInd/>
        <w:snapToGrid/>
        <w:spacing w:afterAutospacing="0" w:line="440" w:lineRule="exact"/>
        <w:jc w:val="both"/>
        <w:textAlignment w:val="auto"/>
        <w:rPr>
          <w:rFonts w:hint="eastAsia" w:asciiTheme="minorEastAsia" w:hAnsi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8.粮食、白酒相关标准</w:t>
      </w:r>
    </w:p>
    <w:p>
      <w:pPr>
        <w:keepNext w:val="0"/>
        <w:keepLines w:val="0"/>
        <w:pageBreakBefore w:val="0"/>
        <w:widowControl/>
        <w:suppressLineNumbers w:val="0"/>
        <w:kinsoku/>
        <w:wordWrap/>
        <w:overflowPunct/>
        <w:topLinePunct w:val="0"/>
        <w:bidi w:val="0"/>
        <w:adjustRightInd/>
        <w:snapToGrid/>
        <w:spacing w:afterAutospacing="0" w:line="440" w:lineRule="exact"/>
        <w:jc w:val="both"/>
        <w:textAlignment w:val="auto"/>
        <w:rPr>
          <w:rFonts w:hint="default" w:asciiTheme="minorEastAsia" w:hAnsiTheme="minorEastAsia" w:cstheme="minorEastAsia"/>
          <w:b w:val="0"/>
          <w:bCs w:val="0"/>
          <w:color w:val="auto"/>
          <w:kern w:val="0"/>
          <w:sz w:val="24"/>
          <w:szCs w:val="24"/>
          <w:lang w:val="en-US" w:eastAsia="zh-CN" w:bidi="ar"/>
        </w:rPr>
      </w:pPr>
      <w:r>
        <w:rPr>
          <w:rFonts w:hint="eastAsia" w:asciiTheme="minorEastAsia" w:hAnsiTheme="minorEastAsia" w:cstheme="minorEastAsia"/>
          <w:b w:val="0"/>
          <w:bCs w:val="0"/>
          <w:color w:val="auto"/>
          <w:kern w:val="0"/>
          <w:sz w:val="24"/>
          <w:szCs w:val="24"/>
          <w:lang w:val="en-US" w:eastAsia="zh-CN" w:bidi="ar"/>
        </w:rPr>
        <w:t>9.白酒生产参考标准</w:t>
      </w:r>
    </w:p>
    <w:p>
      <w:pPr>
        <w:numPr>
          <w:ilvl w:val="0"/>
          <w:numId w:val="0"/>
        </w:numPr>
        <w:rPr>
          <w:rFonts w:hint="default"/>
          <w:lang w:val="en-US" w:eastAsia="zh-CN"/>
        </w:rPr>
      </w:pPr>
    </w:p>
    <w:p>
      <w:pPr>
        <w:keepNext w:val="0"/>
        <w:keepLines w:val="0"/>
        <w:pageBreakBefore w:val="0"/>
        <w:widowControl/>
        <w:suppressLineNumbers w:val="0"/>
        <w:wordWrap/>
        <w:overflowPunct/>
        <w:topLinePunct w:val="0"/>
        <w:bidi w:val="0"/>
        <w:spacing w:line="400" w:lineRule="exact"/>
        <w:jc w:val="center"/>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bookmarkStart w:id="125" w:name="_Toc30932"/>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附1-1 水、环境相关标准</w:t>
      </w:r>
      <w:bookmarkEnd w:id="125"/>
    </w:p>
    <w:tbl>
      <w:tblPr>
        <w:tblStyle w:val="7"/>
        <w:tblW w:w="492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fixed"/>
        <w:tblCellMar>
          <w:top w:w="0" w:type="dxa"/>
          <w:left w:w="108" w:type="dxa"/>
          <w:bottom w:w="0" w:type="dxa"/>
          <w:right w:w="108" w:type="dxa"/>
        </w:tblCellMar>
      </w:tblPr>
      <w:tblGrid>
        <w:gridCol w:w="3167"/>
        <w:gridCol w:w="59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0" w:hRule="atLeast"/>
        </w:trPr>
        <w:tc>
          <w:tcPr>
            <w:tcW w:w="3167" w:type="dxa"/>
            <w:tcBorders>
              <w:tl2br w:val="nil"/>
              <w:tr2bl w:val="nil"/>
            </w:tcBorders>
            <w:shd w:val="clear" w:color="auto" w:fill="auto"/>
            <w:vAlign w:val="bottom"/>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 xml:space="preserve">GB 8978-1996 </w:t>
            </w:r>
          </w:p>
        </w:tc>
        <w:tc>
          <w:tcPr>
            <w:tcW w:w="5990" w:type="dxa"/>
            <w:tcBorders>
              <w:tl2br w:val="nil"/>
              <w:tr2bl w:val="nil"/>
            </w:tcBorders>
            <w:shd w:val="clear" w:color="auto" w:fill="auto"/>
            <w:vAlign w:val="bottom"/>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污水综合排放标准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8" w:type="dxa"/>
            <w:bottom w:w="0" w:type="dxa"/>
            <w:right w:w="108" w:type="dxa"/>
          </w:tblCellMar>
        </w:tblPrEx>
        <w:trPr>
          <w:trHeight w:val="255" w:hRule="atLeast"/>
        </w:trPr>
        <w:tc>
          <w:tcPr>
            <w:tcW w:w="3167" w:type="dxa"/>
            <w:tcBorders>
              <w:tl2br w:val="nil"/>
              <w:tr2bl w:val="nil"/>
            </w:tcBorders>
            <w:shd w:val="clear" w:color="auto" w:fill="auto"/>
            <w:vAlign w:val="bottom"/>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GB/T 6920-86</w:t>
            </w:r>
          </w:p>
        </w:tc>
        <w:tc>
          <w:tcPr>
            <w:tcW w:w="5990" w:type="dxa"/>
            <w:tcBorders>
              <w:tl2br w:val="nil"/>
              <w:tr2bl w:val="nil"/>
            </w:tcBorders>
            <w:shd w:val="clear" w:color="auto" w:fill="auto"/>
            <w:vAlign w:val="bottom"/>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水质 p值的测定玻璃电极法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55" w:hRule="atLeast"/>
        </w:trPr>
        <w:tc>
          <w:tcPr>
            <w:tcW w:w="3167" w:type="dxa"/>
            <w:tcBorders>
              <w:tl2br w:val="nil"/>
              <w:tr2bl w:val="nil"/>
            </w:tcBorders>
            <w:shd w:val="clear" w:color="auto" w:fill="auto"/>
            <w:vAlign w:val="center"/>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GB/T 16705-1996</w:t>
            </w:r>
          </w:p>
        </w:tc>
        <w:tc>
          <w:tcPr>
            <w:tcW w:w="5990" w:type="dxa"/>
            <w:tcBorders>
              <w:tl2br w:val="nil"/>
              <w:tr2bl w:val="nil"/>
            </w:tcBorders>
            <w:shd w:val="clear" w:color="auto" w:fill="auto"/>
            <w:vAlign w:val="center"/>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环境污染类别代码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8" w:type="dxa"/>
            <w:bottom w:w="0" w:type="dxa"/>
            <w:right w:w="108" w:type="dxa"/>
          </w:tblCellMar>
        </w:tblPrEx>
        <w:trPr>
          <w:trHeight w:val="255" w:hRule="atLeast"/>
        </w:trPr>
        <w:tc>
          <w:tcPr>
            <w:tcW w:w="3167" w:type="dxa"/>
            <w:tcBorders>
              <w:tl2br w:val="nil"/>
              <w:tr2bl w:val="nil"/>
            </w:tcBorders>
            <w:shd w:val="clear" w:color="auto" w:fill="auto"/>
            <w:vAlign w:val="center"/>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GB/T 16706-1996</w:t>
            </w:r>
          </w:p>
        </w:tc>
        <w:tc>
          <w:tcPr>
            <w:tcW w:w="5990" w:type="dxa"/>
            <w:tcBorders>
              <w:tl2br w:val="nil"/>
              <w:tr2bl w:val="nil"/>
            </w:tcBorders>
            <w:shd w:val="clear" w:color="auto" w:fill="auto"/>
            <w:vAlign w:val="center"/>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环境污染源类别代码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8" w:type="dxa"/>
            <w:bottom w:w="0" w:type="dxa"/>
            <w:right w:w="108" w:type="dxa"/>
          </w:tblCellMar>
        </w:tblPrEx>
        <w:trPr>
          <w:trHeight w:val="399" w:hRule="atLeast"/>
        </w:trPr>
        <w:tc>
          <w:tcPr>
            <w:tcW w:w="3167" w:type="dxa"/>
            <w:tcBorders>
              <w:tl2br w:val="nil"/>
              <w:tr2bl w:val="nil"/>
            </w:tcBorders>
            <w:shd w:val="clear" w:color="auto" w:fill="auto"/>
            <w:vAlign w:val="bottom"/>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HJ/T 52-1999</w:t>
            </w:r>
          </w:p>
        </w:tc>
        <w:tc>
          <w:tcPr>
            <w:tcW w:w="5990" w:type="dxa"/>
            <w:tcBorders>
              <w:tl2br w:val="nil"/>
              <w:tr2bl w:val="nil"/>
            </w:tcBorders>
            <w:shd w:val="clear" w:color="auto" w:fill="auto"/>
            <w:vAlign w:val="bottom"/>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水质河流采样技术指导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108" w:type="dxa"/>
            <w:bottom w:w="0" w:type="dxa"/>
            <w:right w:w="108" w:type="dxa"/>
          </w:tblCellMar>
        </w:tblPrEx>
        <w:trPr>
          <w:trHeight w:val="405" w:hRule="atLeast"/>
        </w:trPr>
        <w:tc>
          <w:tcPr>
            <w:tcW w:w="3167" w:type="dxa"/>
            <w:tcBorders>
              <w:tl2br w:val="nil"/>
              <w:tr2bl w:val="nil"/>
            </w:tcBorders>
            <w:shd w:val="clear" w:color="auto" w:fill="auto"/>
            <w:vAlign w:val="bottom"/>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 18598-2001</w:t>
            </w:r>
          </w:p>
        </w:tc>
        <w:tc>
          <w:tcPr>
            <w:tcW w:w="5990" w:type="dxa"/>
            <w:tcBorders>
              <w:tl2br w:val="nil"/>
              <w:tr2bl w:val="nil"/>
            </w:tcBorders>
            <w:shd w:val="clear" w:color="auto" w:fill="auto"/>
            <w:vAlign w:val="bottom"/>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危险废物填埋污染控制标准</w:t>
            </w:r>
          </w:p>
        </w:tc>
      </w:tr>
    </w:tbl>
    <w:p>
      <w:pPr>
        <w:pageBreakBefore w:val="0"/>
        <w:wordWrap/>
        <w:overflowPunct/>
        <w:topLinePunct w:val="0"/>
        <w:bidi w:val="0"/>
        <w:spacing w:before="172" w:line="400" w:lineRule="exact"/>
        <w:ind w:left="610"/>
        <w:jc w:val="center"/>
        <w:outlineLvl w:val="9"/>
        <w:rPr>
          <w:rFonts w:hint="eastAsia" w:asciiTheme="minorEastAsia" w:hAnsiTheme="minorEastAsia" w:eastAsiaTheme="minorEastAsia" w:cstheme="minorEastAsia"/>
          <w:spacing w:val="-1"/>
          <w:sz w:val="24"/>
          <w:szCs w:val="24"/>
          <w:lang w:eastAsia="zh-CN"/>
          <w14:textOutline w14:w="4358" w14:cap="sq" w14:cmpd="sng">
            <w14:solidFill>
              <w14:srgbClr w14:val="000000"/>
            </w14:solidFill>
            <w14:prstDash w14:val="solid"/>
            <w14:bevel/>
          </w14:textOutline>
        </w:rPr>
      </w:pPr>
      <w:r>
        <w:rPr>
          <w:rFonts w:hint="eastAsia" w:asciiTheme="minorEastAsia" w:hAnsiTheme="minorEastAsia" w:eastAsiaTheme="minorEastAsia" w:cstheme="minorEastAsia"/>
          <w:spacing w:val="-3"/>
          <w:sz w:val="24"/>
          <w:szCs w:val="24"/>
          <w:lang w:eastAsia="zh-CN"/>
        </w:rPr>
        <w:t>附</w:t>
      </w:r>
      <w:r>
        <w:rPr>
          <w:rFonts w:hint="eastAsia" w:asciiTheme="minorEastAsia" w:hAnsiTheme="minorEastAsia" w:cstheme="minorEastAsia"/>
          <w:spacing w:val="-3"/>
          <w:sz w:val="24"/>
          <w:szCs w:val="24"/>
          <w:lang w:val="en-US" w:eastAsia="zh-CN"/>
        </w:rPr>
        <w:t>1-2 粮食、白酒相关</w:t>
      </w:r>
      <w:r>
        <w:rPr>
          <w:rFonts w:hint="eastAsia" w:asciiTheme="minorEastAsia" w:hAnsiTheme="minorEastAsia" w:eastAsiaTheme="minorEastAsia" w:cstheme="minorEastAsia"/>
          <w:spacing w:val="-3"/>
          <w:sz w:val="24"/>
          <w:szCs w:val="24"/>
          <w:lang w:eastAsia="zh-CN"/>
        </w:rPr>
        <w:t>标准</w:t>
      </w:r>
    </w:p>
    <w:tbl>
      <w:tblPr>
        <w:tblStyle w:val="8"/>
        <w:tblW w:w="49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7"/>
        <w:gridCol w:w="5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CXS 152-1985</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小麦粉标准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CXS 199-1995</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小麦和硬质小麦标准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CXS 172-1989</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高粱米标准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CXS 173-1989</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高粱粉标准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GB/T 10781.8-2021</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白酒质量要求 第8部分：浓酱兼香型白酒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GB/T 33406-2016</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白酒风味物质阈值测定指南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GB/T 26760-2011</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酱香型白酒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GB/T 18916.15-2014</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取水定额 第15部分：白酒制造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GB/T 23544-2009</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白酒企业良好生产规范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 16798-1997</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食品机械安全卫生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 1351-2023</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小麦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68"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GB/T 8231-2007</w:t>
            </w:r>
          </w:p>
        </w:tc>
        <w:tc>
          <w:tcPr>
            <w:tcW w:w="5986" w:type="dxa"/>
          </w:tcPr>
          <w:p>
            <w:pPr>
              <w:keepNext w:val="0"/>
              <w:keepLines w:val="0"/>
              <w:pageBreakBefore w:val="0"/>
              <w:widowControl/>
              <w:suppressLineNumbers w:val="0"/>
              <w:wordWrap/>
              <w:overflowPunct/>
              <w:topLinePunct w:val="0"/>
              <w:bidi w:val="0"/>
              <w:spacing w:line="400" w:lineRule="exact"/>
              <w:jc w:val="left"/>
              <w:textAlignment w:val="bottom"/>
              <w:rPr>
                <w:rFonts w:hint="eastAsia" w:asciiTheme="minorEastAsia" w:hAnsiTheme="minorEastAsia" w:eastAsiaTheme="minorEastAsia" w:cstheme="minorEastAsia"/>
                <w:i w:val="0"/>
                <w:iCs w:val="0"/>
                <w:snapToGrid w:val="0"/>
                <w:color w:val="000000"/>
                <w:kern w:val="0"/>
                <w:sz w:val="24"/>
                <w:szCs w:val="24"/>
                <w:u w:val="none"/>
                <w:lang w:val="en-US" w:eastAsia="zh-CN" w:bidi="ar"/>
              </w:rPr>
            </w:pPr>
            <w:r>
              <w:rPr>
                <w:rFonts w:hint="eastAsia" w:asciiTheme="minorEastAsia" w:hAnsiTheme="minorEastAsia" w:eastAsiaTheme="minorEastAsia" w:cstheme="minorEastAsia"/>
                <w:i w:val="0"/>
                <w:iCs w:val="0"/>
                <w:snapToGrid w:val="0"/>
                <w:color w:val="000000"/>
                <w:kern w:val="0"/>
                <w:sz w:val="24"/>
                <w:szCs w:val="24"/>
                <w:u w:val="none"/>
                <w:lang w:val="en-US" w:eastAsia="zh-CN" w:bidi="ar"/>
              </w:rPr>
              <w:t>高粱</w:t>
            </w:r>
          </w:p>
        </w:tc>
      </w:tr>
    </w:tbl>
    <w:p>
      <w:pPr>
        <w:keepNext w:val="0"/>
        <w:keepLines w:val="0"/>
        <w:pageBreakBefore w:val="0"/>
        <w:widowControl/>
        <w:numPr>
          <w:ilvl w:val="0"/>
          <w:numId w:val="0"/>
        </w:numPr>
        <w:suppressLineNumbers w:val="0"/>
        <w:kinsoku/>
        <w:wordWrap/>
        <w:overflowPunct/>
        <w:topLinePunct w:val="0"/>
        <w:bidi w:val="0"/>
        <w:adjustRightInd/>
        <w:snapToGrid/>
        <w:spacing w:afterAutospacing="0" w:line="440" w:lineRule="exact"/>
        <w:jc w:val="both"/>
        <w:textAlignment w:val="auto"/>
        <w:rPr>
          <w:rFonts w:hint="eastAsia" w:asciiTheme="minorEastAsia" w:hAnsiTheme="minorEastAsia" w:cstheme="minorEastAsia"/>
          <w:b w:val="0"/>
          <w:bCs w:val="0"/>
          <w:color w:val="FF0000"/>
          <w:kern w:val="0"/>
          <w:sz w:val="24"/>
          <w:szCs w:val="24"/>
          <w:lang w:val="en-US" w:eastAsia="zh-CN" w:bidi="ar"/>
        </w:rPr>
      </w:pPr>
    </w:p>
    <w:p>
      <w:pPr>
        <w:bidi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 xml:space="preserve">附1-3 </w:t>
      </w:r>
      <w:r>
        <w:rPr>
          <w:rFonts w:hint="eastAsia" w:asciiTheme="minorEastAsia" w:hAnsiTheme="minorEastAsia" w:eastAsiaTheme="minorEastAsia" w:cstheme="minorEastAsia"/>
          <w:sz w:val="24"/>
          <w:szCs w:val="24"/>
          <w:lang w:val="en-US" w:eastAsia="zh-CN"/>
        </w:rPr>
        <w:t>生产参考标准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85"/>
        <w:gridCol w:w="5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center"/>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标准号</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center"/>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4" w:type="dxa"/>
            <w:gridSpan w:val="2"/>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一、白酒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GB/T26760-2011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酱香型白酒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GB/T10781.1-2006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浓香型白酒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GB/T10781.2-2006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清香型白酒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GB/T10781.3-2006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米香型白酒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GB/T20821-2007</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液态法白酒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GB/T20822-2007</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固液法白酒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GB/T20823-2007</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特香型白酒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GB/T20824-2007</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芝麻香型白酒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GB/T20825-2007</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老白干香型白酒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QB/T4259-2011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浓香大曲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DB50/T15-2001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小曲酒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GB/T11856-2008</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白兰地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GB/T11857-2008</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威士忌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GB2757-2012</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食品安全国家标准 蒸馏酒及配制酒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GB2758-2012</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食品安全国家标准 发酵酒及配制酒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GB10343-2008</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食用酒精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4" w:type="dxa"/>
            <w:gridSpan w:val="2"/>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二、检验分析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GB5009.225-2016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食品安全国家标准 酒中乙醇浓度的测定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GB5009.266-2016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食品安全国家标准 酒中甲醇浓度的测定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4" w:type="dxa"/>
            <w:gridSpan w:val="2"/>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三、包装类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JJF1070</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定量包装商品净含量计量检验规则 定量包装商品计量监督管理办法 国家质量监督检验总局 [2015]第75条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GB4806.1-2016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食品安全国家标准</w:t>
            </w:r>
          </w:p>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 xml:space="preserve">食品接触材料及制品通用安全要求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4"/>
                <w:szCs w:val="24"/>
                <w:lang w:val="en-US" w:eastAsia="zh-CN" w:bidi="ar-SA"/>
                <w14:textFill>
                  <w14:solidFill>
                    <w14:schemeClr w14:val="tx1"/>
                  </w14:solidFill>
                </w14:textFill>
              </w:rPr>
              <w:t xml:space="preserve"> GB/T10346-2006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4"/>
                <w:szCs w:val="24"/>
                <w:lang w:val="en-US" w:eastAsia="zh-CN" w:bidi="ar-SA"/>
                <w14:textFill>
                  <w14:solidFill>
                    <w14:schemeClr w14:val="tx1"/>
                  </w14:solidFill>
                </w14:textFill>
              </w:rPr>
              <w:t>白酒检验规则和标志、包装、运输、贮存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4" w:type="dxa"/>
            <w:gridSpan w:val="2"/>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四、生产类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GB8951-2016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 xml:space="preserve">食品国家安全标准蒸馏酒及其配制酒生产卫生规范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SB/T10713-2012</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 xml:space="preserve">白酒原酒及基酒流通技术规范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GB27631-2011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 xml:space="preserve">发酵酒精和白酒工业水污染排放标准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GB50694-2011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 xml:space="preserve">酒厂设计防火规范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4" w:type="dxa"/>
            <w:gridSpan w:val="2"/>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cstheme="minorEastAsia"/>
                <w:b w:val="0"/>
                <w:bCs w:val="0"/>
                <w:color w:val="000000"/>
                <w:kern w:val="0"/>
                <w:sz w:val="24"/>
                <w:szCs w:val="24"/>
                <w:lang w:val="en-US" w:eastAsia="zh-CN" w:bidi="ar-SA"/>
              </w:rPr>
              <w:t>五、质量、环境类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ISO 9001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质量管理体系认证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ISO 22000</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食品安全管理体系认证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ISO 14001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环境管理体系认证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 13121-1991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陶瓷食具容器卫生标准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 9685-2016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食品接触材料及制品用添加剂使用标准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 44881-2023</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食品生产质量控制与管理通用技术规范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 4806-2016</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食品接触用塑料材料及制品的树脂及树脂共混合物的安全性要求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4"/>
                <w:szCs w:val="24"/>
                <w:lang w:val="en-US" w:eastAsia="zh-CN" w:bidi="ar-SA"/>
                <w14:textFill>
                  <w14:solidFill>
                    <w14:schemeClr w14:val="tx1"/>
                  </w14:solidFill>
                </w14:textFill>
              </w:rPr>
              <w:t>GB/T 24694-2021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themeColor="text1"/>
                <w:kern w:val="0"/>
                <w:sz w:val="24"/>
                <w:szCs w:val="24"/>
                <w:lang w:val="en-US" w:eastAsia="zh-CN" w:bidi="ar-SA"/>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4"/>
                <w:szCs w:val="24"/>
                <w:lang w:val="en-US" w:eastAsia="zh-CN" w:bidi="ar-SA"/>
                <w14:textFill>
                  <w14:solidFill>
                    <w14:schemeClr w14:val="tx1"/>
                  </w14:solidFill>
                </w14:textFill>
              </w:rPr>
              <w:t>玻璃容器——白酒瓶质量要求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 19778-2005</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是关于包装玻璃容器中铅、镉、砷、锑溶出允许限量的国家标准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GB/T 23544-2009</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白酒企业良好生产规范的标准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GB 27631-2011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b w:val="0"/>
                <w:bCs w:val="0"/>
                <w:color w:val="000000"/>
                <w:kern w:val="0"/>
                <w:sz w:val="24"/>
                <w:szCs w:val="24"/>
                <w:lang w:val="en-US" w:eastAsia="zh-CN" w:bidi="ar-SA"/>
              </w:rPr>
              <w:t>发酵酒精和白酒工业水污染物排放的标准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9154" w:type="dxa"/>
            <w:gridSpan w:val="2"/>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cstheme="minorEastAsia"/>
                <w:b w:val="0"/>
                <w:bCs w:val="0"/>
                <w:color w:val="000000"/>
                <w:kern w:val="0"/>
                <w:sz w:val="24"/>
                <w:szCs w:val="24"/>
                <w:lang w:val="en-US" w:eastAsia="zh-CN" w:bidi="ar-SA"/>
              </w:rPr>
              <w:t>六、营销类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
              </w:rPr>
              <w:t>ISO900</w:t>
            </w:r>
            <w:r>
              <w:rPr>
                <w:rFonts w:hint="eastAsia" w:asciiTheme="minorEastAsia" w:hAnsiTheme="minorEastAsia" w:cstheme="minorEastAsia"/>
                <w:color w:val="auto"/>
                <w:kern w:val="0"/>
                <w:sz w:val="24"/>
                <w:szCs w:val="24"/>
                <w:lang w:val="en-US" w:eastAsia="zh-CN" w:bidi="ar"/>
              </w:rPr>
              <w:t>1认证</w:t>
            </w:r>
            <w:r>
              <w:rPr>
                <w:rFonts w:hint="eastAsia" w:asciiTheme="minorEastAsia" w:hAnsiTheme="minorEastAsia" w:eastAsiaTheme="minorEastAsia" w:cstheme="minorEastAsia"/>
                <w:color w:val="auto"/>
                <w:kern w:val="0"/>
                <w:sz w:val="24"/>
                <w:szCs w:val="24"/>
                <w:lang w:val="en-US" w:eastAsia="zh-CN" w:bidi="ar"/>
              </w:rPr>
              <w:t xml:space="preserve"> </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cstheme="minorEastAsia"/>
                <w:b w:val="0"/>
                <w:bCs w:val="0"/>
                <w:color w:val="000000"/>
                <w:kern w:val="0"/>
                <w:sz w:val="24"/>
                <w:szCs w:val="24"/>
                <w:lang w:val="en-US" w:eastAsia="zh-CN" w:bidi="ar-SA"/>
              </w:rPr>
              <w:t>企业质量管理体系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cstheme="minorEastAsia"/>
                <w:color w:val="auto"/>
                <w:kern w:val="0"/>
                <w:sz w:val="24"/>
                <w:szCs w:val="24"/>
                <w:lang w:val="en-US" w:eastAsia="zh-CN" w:bidi="ar"/>
              </w:rPr>
              <w:t>ISO140001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cstheme="minorEastAsia"/>
                <w:b w:val="0"/>
                <w:bCs w:val="0"/>
                <w:color w:val="000000"/>
                <w:kern w:val="0"/>
                <w:sz w:val="24"/>
                <w:szCs w:val="24"/>
                <w:lang w:val="en-US" w:eastAsia="zh-CN" w:bidi="ar-SA"/>
              </w:rPr>
              <w:t>环境管理体系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cstheme="minorEastAsia"/>
                <w:color w:val="auto"/>
                <w:kern w:val="0"/>
                <w:sz w:val="24"/>
                <w:szCs w:val="24"/>
                <w:lang w:val="en-US" w:eastAsia="zh-CN" w:bidi="ar"/>
              </w:rPr>
            </w:pPr>
            <w:r>
              <w:rPr>
                <w:rFonts w:hint="eastAsia" w:asciiTheme="minorEastAsia" w:hAnsiTheme="minorEastAsia" w:cstheme="minorEastAsia"/>
                <w:color w:val="auto"/>
                <w:kern w:val="0"/>
                <w:sz w:val="24"/>
                <w:szCs w:val="24"/>
                <w:lang w:val="en-US" w:eastAsia="zh-CN" w:bidi="ar"/>
              </w:rPr>
              <w:t>ISO45001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cstheme="minorEastAsia"/>
                <w:b w:val="0"/>
                <w:bCs w:val="0"/>
                <w:color w:val="000000"/>
                <w:kern w:val="0"/>
                <w:sz w:val="24"/>
                <w:szCs w:val="24"/>
                <w:lang w:val="en-US" w:eastAsia="zh-CN" w:bidi="ar-SA"/>
              </w:rPr>
              <w:t>职业健康安全管理体系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cstheme="minorEastAsia"/>
                <w:color w:val="auto"/>
                <w:kern w:val="0"/>
                <w:sz w:val="24"/>
                <w:szCs w:val="24"/>
                <w:lang w:val="en-US" w:eastAsia="zh-CN" w:bidi="ar"/>
              </w:rPr>
            </w:pPr>
            <w:r>
              <w:rPr>
                <w:rFonts w:hint="eastAsia" w:asciiTheme="minorEastAsia" w:hAnsiTheme="minorEastAsia" w:cstheme="minorEastAsia"/>
                <w:color w:val="auto"/>
                <w:kern w:val="0"/>
                <w:sz w:val="24"/>
                <w:szCs w:val="24"/>
                <w:lang w:val="en-US" w:eastAsia="zh-CN" w:bidi="ar"/>
              </w:rPr>
              <w:t>ISO28000</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cstheme="minorEastAsia"/>
                <w:b w:val="0"/>
                <w:bCs w:val="0"/>
                <w:color w:val="000000"/>
                <w:kern w:val="0"/>
                <w:sz w:val="24"/>
                <w:szCs w:val="24"/>
                <w:lang w:val="en-US" w:eastAsia="zh-CN" w:bidi="ar-SA"/>
              </w:rPr>
              <w:t>供应链安全管理体系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85"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cstheme="minorEastAsia"/>
                <w:color w:val="auto"/>
                <w:kern w:val="0"/>
                <w:sz w:val="24"/>
                <w:szCs w:val="24"/>
                <w:lang w:val="en-US" w:eastAsia="zh-CN" w:bidi="ar"/>
              </w:rPr>
            </w:pPr>
            <w:r>
              <w:rPr>
                <w:rFonts w:hint="eastAsia" w:asciiTheme="minorEastAsia" w:hAnsiTheme="minorEastAsia" w:cstheme="minorEastAsia"/>
                <w:color w:val="auto"/>
                <w:kern w:val="0"/>
                <w:sz w:val="24"/>
                <w:szCs w:val="24"/>
                <w:lang w:val="en-US" w:eastAsia="zh-CN" w:bidi="ar"/>
              </w:rPr>
              <w:t>ISO37301</w:t>
            </w:r>
          </w:p>
        </w:tc>
        <w:tc>
          <w:tcPr>
            <w:tcW w:w="5769" w:type="dxa"/>
          </w:tcPr>
          <w:p>
            <w:pPr>
              <w:keepNext w:val="0"/>
              <w:keepLines w:val="0"/>
              <w:pageBreakBefore w:val="0"/>
              <w:widowControl w:val="0"/>
              <w:kinsoku/>
              <w:wordWrap/>
              <w:overflowPunct/>
              <w:topLinePunct w:val="0"/>
              <w:autoSpaceDE w:val="0"/>
              <w:autoSpaceDN w:val="0"/>
              <w:bidi w:val="0"/>
              <w:adjustRightInd/>
              <w:snapToGrid/>
              <w:spacing w:before="10" w:after="0" w:line="440" w:lineRule="exact"/>
              <w:ind w:right="0"/>
              <w:jc w:val="left"/>
              <w:textAlignment w:val="auto"/>
              <w:rPr>
                <w:rFonts w:hint="eastAsia" w:asciiTheme="minorEastAsia" w:hAnsiTheme="minorEastAsia" w:eastAsiaTheme="minorEastAsia" w:cstheme="minorEastAsia"/>
                <w:b w:val="0"/>
                <w:bCs w:val="0"/>
                <w:color w:val="000000"/>
                <w:kern w:val="0"/>
                <w:sz w:val="24"/>
                <w:szCs w:val="24"/>
                <w:lang w:val="en-US" w:eastAsia="zh-CN" w:bidi="ar-SA"/>
              </w:rPr>
            </w:pPr>
            <w:r>
              <w:rPr>
                <w:rFonts w:hint="eastAsia" w:asciiTheme="minorEastAsia" w:hAnsiTheme="minorEastAsia" w:cstheme="minorEastAsia"/>
                <w:b w:val="0"/>
                <w:bCs w:val="0"/>
                <w:color w:val="000000"/>
                <w:kern w:val="0"/>
                <w:sz w:val="24"/>
                <w:szCs w:val="24"/>
                <w:lang w:val="en-US" w:eastAsia="zh-CN" w:bidi="ar-SA"/>
              </w:rPr>
              <w:t>合规管理体系</w:t>
            </w:r>
          </w:p>
        </w:tc>
      </w:tr>
    </w:tbl>
    <w:p>
      <w:pPr>
        <w:keepNext w:val="0"/>
        <w:keepLines w:val="0"/>
        <w:pageBreakBefore w:val="0"/>
        <w:widowControl/>
        <w:suppressLineNumbers w:val="0"/>
        <w:kinsoku/>
        <w:wordWrap/>
        <w:overflowPunct/>
        <w:topLinePunct w:val="0"/>
        <w:bidi w:val="0"/>
        <w:adjustRightInd/>
        <w:snapToGrid/>
        <w:spacing w:afterAutospacing="0" w:line="440" w:lineRule="exact"/>
        <w:ind w:firstLine="480" w:firstLineChars="200"/>
        <w:jc w:val="both"/>
        <w:textAlignment w:val="auto"/>
        <w:rPr>
          <w:rFonts w:hint="default" w:asciiTheme="minorEastAsia" w:hAnsiTheme="minorEastAsia" w:cstheme="minorEastAsia"/>
          <w:b w:val="0"/>
          <w:bCs w:val="0"/>
          <w:color w:val="FF0000"/>
          <w:kern w:val="0"/>
          <w:sz w:val="24"/>
          <w:szCs w:val="24"/>
          <w:lang w:val="en-US" w:eastAsia="zh-CN" w:bidi="ar"/>
        </w:rPr>
      </w:pPr>
    </w:p>
    <w:p/>
    <w:sectPr>
      <w:headerReference r:id="rId3" w:type="default"/>
      <w:footerReference r:id="rId4" w:type="default"/>
      <w:pgSz w:w="11906" w:h="16838"/>
      <w:pgMar w:top="1361" w:right="1417" w:bottom="1361" w:left="1417"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396E16B-E79C-46CE-A48B-25CF5103BEC7}"/>
  </w:font>
  <w:font w:name="黑体">
    <w:panose1 w:val="02010609060101010101"/>
    <w:charset w:val="86"/>
    <w:family w:val="auto"/>
    <w:pitch w:val="default"/>
    <w:sig w:usb0="800002BF" w:usb1="38CF7CFA" w:usb2="00000016" w:usb3="00000000" w:csb0="00040001" w:csb1="00000000"/>
    <w:embedRegular r:id="rId2" w:fontKey="{E83807B9-56E2-416E-B327-35A6214C57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D526806-6285-4E40-92B9-B329C2560166}"/>
  </w:font>
  <w:font w:name="微软雅黑">
    <w:panose1 w:val="020B0503020204020204"/>
    <w:charset w:val="86"/>
    <w:family w:val="auto"/>
    <w:pitch w:val="default"/>
    <w:sig w:usb0="80000287" w:usb1="2ACF3C50" w:usb2="00000016" w:usb3="00000000" w:csb0="0004001F" w:csb1="00000000"/>
    <w:embedRegular r:id="rId4" w:fontKey="{88BF7B1A-A93A-4E41-B506-E48D1F4990C6}"/>
  </w:font>
  <w:font w:name="方正公文黑体">
    <w:panose1 w:val="02000500000000000000"/>
    <w:charset w:val="86"/>
    <w:family w:val="auto"/>
    <w:pitch w:val="default"/>
    <w:sig w:usb0="A00002BF" w:usb1="38CF7CFA" w:usb2="00000016" w:usb3="00000000" w:csb0="00040001" w:csb1="00000000"/>
    <w:embedRegular r:id="rId5" w:fontKey="{D57D4D11-B754-428F-9091-280129975D10}"/>
  </w:font>
  <w:font w:name="方正仿宋_GB2312">
    <w:panose1 w:val="02000000000000000000"/>
    <w:charset w:val="86"/>
    <w:family w:val="auto"/>
    <w:pitch w:val="default"/>
    <w:sig w:usb0="A00002BF" w:usb1="184F6CFA" w:usb2="00000012" w:usb3="00000000" w:csb0="00040001" w:csb1="00000000"/>
    <w:embedRegular r:id="rId6" w:fontKey="{C0CF1EC2-0DB3-49B1-A622-826339716D20}"/>
  </w:font>
  <w:font w:name="Segoe UI">
    <w:panose1 w:val="020B0502040204020203"/>
    <w:charset w:val="00"/>
    <w:family w:val="auto"/>
    <w:pitch w:val="default"/>
    <w:sig w:usb0="E4002EFF" w:usb1="C000E47F" w:usb2="00000009" w:usb3="00000000" w:csb0="200001FF" w:csb1="00000000"/>
    <w:embedRegular r:id="rId7" w:fontKey="{050527D2-7B36-4D4E-8A31-E4D24E4ECE20}"/>
  </w:font>
  <w:font w:name="仿宋_GB2312">
    <w:panose1 w:val="02010609030101010101"/>
    <w:charset w:val="86"/>
    <w:family w:val="auto"/>
    <w:pitch w:val="default"/>
    <w:sig w:usb0="00000001" w:usb1="080E0000" w:usb2="00000000" w:usb3="00000000" w:csb0="00040000" w:csb1="00000000"/>
    <w:embedRegular r:id="rId8" w:fontKey="{78AEA506-6F31-495D-B126-563E890A79EA}"/>
  </w:font>
  <w:font w:name="Arial Unicode MS">
    <w:panose1 w:val="020B0604020202020204"/>
    <w:charset w:val="86"/>
    <w:family w:val="auto"/>
    <w:pitch w:val="default"/>
    <w:sig w:usb0="FFFFFFFF" w:usb1="E9FFFFFF" w:usb2="0000003F" w:usb3="00000000" w:csb0="603F01FF" w:csb1="FFFF0000"/>
    <w:embedRegular r:id="rId9" w:fontKey="{D732A1F0-185D-4D14-8983-B02832A169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57" w:lineRule="auto"/>
      <w:ind w:left="5"/>
      <w:rPr>
        <w:rFonts w:ascii="Arial Unicode MS" w:hAnsi="Arial Unicode MS" w:eastAsia="Arial Unicode MS" w:cs="Arial Unicode MS"/>
        <w:sz w:val="16"/>
        <w:szCs w:val="16"/>
      </w:rPr>
    </w:pPr>
    <w:r>
      <w:rPr>
        <w:sz w:val="1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v:textbox>
            </v:shape>
          </w:pict>
        </mc:Fallback>
      </mc:AlternateContent>
    </w: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F18A47"/>
    <w:multiLevelType w:val="singleLevel"/>
    <w:tmpl w:val="11F18A4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kMzgwNTc1ZWRjYjJlNDZkMGU5OTU3ODNhZDBmMjgifQ=="/>
  </w:docVars>
  <w:rsids>
    <w:rsidRoot w:val="08F269C2"/>
    <w:rsid w:val="08F269C2"/>
    <w:rsid w:val="13F44C4B"/>
    <w:rsid w:val="2F631C6E"/>
    <w:rsid w:val="662312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table" w:styleId="8">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Text"/>
    <w:basedOn w:val="1"/>
    <w:autoRedefine/>
    <w:semiHidden/>
    <w:qFormat/>
    <w:uiPriority w:val="0"/>
    <w:rPr>
      <w:rFonts w:ascii="微软雅黑" w:hAnsi="微软雅黑" w:eastAsia="微软雅黑" w:cs="微软雅黑"/>
      <w:sz w:val="19"/>
      <w:szCs w:val="19"/>
      <w:lang w:val="en-US" w:eastAsia="en-US" w:bidi="ar-SA"/>
    </w:rPr>
  </w:style>
  <w:style w:type="paragraph" w:styleId="11">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2024-03-29T09:24:00Z</dcterms:created>
  <dc:creator>张晓莲</dc:creator>
  <cp:lastModifiedBy>张晓莲</cp:lastModifiedBy>
  <dcterms:modified xsi:type="dcterms:W3CDTF">2024-03-29T09:29:32Z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25573C3F53D44994882E3597BC8E63FE_13</vt:lpwstr>
  </property>
</Properties>
</file>