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D455" w14:textId="58C4AE41" w:rsidR="00B11C6C" w:rsidRDefault="00000000">
      <w:pPr>
        <w:spacing w:line="520" w:lineRule="exact"/>
        <w:jc w:val="center"/>
        <w:rPr>
          <w:b/>
          <w:bCs/>
          <w:sz w:val="28"/>
          <w:szCs w:val="28"/>
        </w:rPr>
      </w:pPr>
      <w:r w:rsidRPr="00F45DAC">
        <w:rPr>
          <w:rFonts w:hint="eastAsia"/>
          <w:b/>
          <w:bCs/>
          <w:sz w:val="28"/>
          <w:szCs w:val="28"/>
        </w:rPr>
        <w:t>《董香型白酒》团体标准编制说明</w:t>
      </w:r>
    </w:p>
    <w:p w14:paraId="04E4D539" w14:textId="04E98E8A" w:rsidR="00F45DAC" w:rsidRPr="00F45DAC" w:rsidRDefault="00F45DAC">
      <w:pPr>
        <w:spacing w:line="520" w:lineRule="exact"/>
        <w:jc w:val="center"/>
        <w:rPr>
          <w:b/>
          <w:bCs/>
          <w:sz w:val="28"/>
          <w:szCs w:val="28"/>
        </w:rPr>
      </w:pPr>
      <w:r>
        <w:rPr>
          <w:rFonts w:hint="eastAsia"/>
          <w:b/>
          <w:bCs/>
          <w:sz w:val="28"/>
          <w:szCs w:val="28"/>
        </w:rPr>
        <w:t>（征求意见稿）</w:t>
      </w:r>
    </w:p>
    <w:p w14:paraId="6FBFB17E" w14:textId="77777777" w:rsidR="00B11C6C" w:rsidRDefault="00000000">
      <w:pPr>
        <w:pStyle w:val="ae"/>
        <w:numPr>
          <w:ilvl w:val="0"/>
          <w:numId w:val="5"/>
        </w:numPr>
        <w:spacing w:beforeLines="50" w:before="156" w:afterLines="50" w:after="156" w:line="520" w:lineRule="exact"/>
        <w:ind w:firstLineChars="0"/>
        <w:rPr>
          <w:rFonts w:ascii="宋体" w:hAnsi="宋体"/>
          <w:b/>
          <w:bCs/>
          <w:color w:val="000000"/>
          <w:sz w:val="24"/>
          <w:szCs w:val="24"/>
        </w:rPr>
      </w:pPr>
      <w:r>
        <w:rPr>
          <w:rFonts w:ascii="宋体" w:hAnsi="宋体" w:hint="eastAsia"/>
          <w:b/>
          <w:bCs/>
          <w:color w:val="000000"/>
          <w:sz w:val="24"/>
          <w:szCs w:val="24"/>
        </w:rPr>
        <w:t>工作简况</w:t>
      </w:r>
    </w:p>
    <w:p w14:paraId="28092F34" w14:textId="77777777" w:rsidR="00B11C6C" w:rsidRDefault="00000000">
      <w:pPr>
        <w:pStyle w:val="ae"/>
        <w:numPr>
          <w:ilvl w:val="0"/>
          <w:numId w:val="6"/>
        </w:numPr>
        <w:spacing w:beforeLines="50" w:before="156" w:afterLines="50" w:after="156" w:line="520" w:lineRule="exact"/>
        <w:ind w:firstLineChars="0"/>
        <w:rPr>
          <w:rFonts w:ascii="宋体" w:hAnsi="宋体"/>
          <w:b/>
          <w:bCs/>
          <w:color w:val="000000"/>
          <w:sz w:val="24"/>
          <w:szCs w:val="24"/>
        </w:rPr>
      </w:pPr>
      <w:bookmarkStart w:id="0" w:name="_Hlk141346646"/>
      <w:r>
        <w:rPr>
          <w:rFonts w:ascii="宋体" w:hAnsi="宋体"/>
          <w:b/>
          <w:bCs/>
          <w:color w:val="000000"/>
          <w:sz w:val="24"/>
          <w:szCs w:val="24"/>
        </w:rPr>
        <w:t>任务来源</w:t>
      </w:r>
      <w:bookmarkEnd w:id="0"/>
    </w:p>
    <w:p w14:paraId="03649E42" w14:textId="145BF8ED" w:rsidR="00B11C6C" w:rsidRDefault="00F45DAC">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贵州董酒股份有限公司根据该类白酒发展提出团体标准提案，中国酒业协会团体标准审查委员会批准立项，由中国酒业协会牵头，贵州董酒股份有限公司、中国食品发酵工业研究院有限公司等单位共同承担，起草编制《董香型白酒》团体标准。《董香型白酒》团体标准中国标准分类号</w:t>
      </w:r>
      <w:r>
        <w:rPr>
          <w:rFonts w:ascii="Times New Roman" w:eastAsia="宋体" w:hAnsi="Times New Roman" w:cs="Times New Roman" w:hint="eastAsia"/>
          <w:sz w:val="24"/>
          <w:szCs w:val="24"/>
        </w:rPr>
        <w:t>X61</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ICS</w:t>
      </w:r>
      <w:r>
        <w:rPr>
          <w:rFonts w:ascii="Times New Roman" w:eastAsia="宋体" w:hAnsi="Times New Roman" w:cs="Times New Roman" w:hint="eastAsia"/>
          <w:sz w:val="24"/>
          <w:szCs w:val="24"/>
        </w:rPr>
        <w:t>分类号</w:t>
      </w:r>
      <w:r>
        <w:rPr>
          <w:rFonts w:ascii="Times New Roman" w:eastAsia="宋体" w:hAnsi="Times New Roman" w:cs="Times New Roman" w:hint="eastAsia"/>
          <w:sz w:val="24"/>
          <w:szCs w:val="24"/>
        </w:rPr>
        <w:t>67.160.10</w:t>
      </w:r>
      <w:r>
        <w:rPr>
          <w:rFonts w:ascii="Times New Roman" w:eastAsia="宋体" w:hAnsi="Times New Roman" w:cs="Times New Roman" w:hint="eastAsia"/>
          <w:sz w:val="24"/>
          <w:szCs w:val="24"/>
        </w:rPr>
        <w:t>）。</w:t>
      </w:r>
    </w:p>
    <w:p w14:paraId="4617FE94" w14:textId="69DFC7B8" w:rsidR="00B11C6C" w:rsidRDefault="00000000">
      <w:pPr>
        <w:pStyle w:val="ae"/>
        <w:numPr>
          <w:ilvl w:val="0"/>
          <w:numId w:val="6"/>
        </w:numPr>
        <w:spacing w:beforeLines="50" w:before="156" w:afterLines="50" w:after="156" w:line="520" w:lineRule="exact"/>
        <w:ind w:firstLineChars="0"/>
        <w:rPr>
          <w:rFonts w:ascii="宋体" w:hAnsi="宋体"/>
          <w:b/>
          <w:bCs/>
          <w:color w:val="000000"/>
          <w:sz w:val="24"/>
          <w:szCs w:val="24"/>
        </w:rPr>
      </w:pPr>
      <w:r>
        <w:rPr>
          <w:rFonts w:ascii="宋体" w:hAnsi="宋体" w:hint="eastAsia"/>
          <w:b/>
          <w:bCs/>
          <w:color w:val="000000"/>
          <w:sz w:val="24"/>
          <w:szCs w:val="24"/>
        </w:rPr>
        <w:t>编制单位</w:t>
      </w:r>
      <w:r w:rsidR="0051446F" w:rsidRPr="0051446F">
        <w:rPr>
          <w:rFonts w:ascii="宋体" w:hAnsi="宋体" w:hint="eastAsia"/>
          <w:b/>
          <w:bCs/>
          <w:color w:val="000000"/>
          <w:sz w:val="24"/>
          <w:szCs w:val="24"/>
        </w:rPr>
        <w:t>（拟推荐起草单位）</w:t>
      </w:r>
    </w:p>
    <w:p w14:paraId="218E3AE0"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中国酒业协会、</w:t>
      </w:r>
      <w:bookmarkStart w:id="1" w:name="_Hlk142496756"/>
      <w:r>
        <w:rPr>
          <w:rFonts w:ascii="Times New Roman" w:eastAsia="宋体" w:hAnsi="Times New Roman" w:cs="Times New Roman" w:hint="eastAsia"/>
          <w:sz w:val="24"/>
          <w:szCs w:val="24"/>
        </w:rPr>
        <w:t>贵州董酒股份有限公司</w:t>
      </w:r>
      <w:bookmarkEnd w:id="1"/>
      <w:r>
        <w:rPr>
          <w:rFonts w:ascii="Times New Roman" w:eastAsia="宋体" w:hAnsi="Times New Roman" w:cs="Times New Roman" w:hint="eastAsia"/>
          <w:sz w:val="24"/>
          <w:szCs w:val="24"/>
        </w:rPr>
        <w:t>、中国食品发酵工业研究院有限公司、北京工商大学、天津科技大学、贵州食品工程技术学院、宜宾学院、茅台学院酿酒工程系、贵州省标准化院、贵州省产品质量检验检测院、贵州省食品检验检测院，遵义市产品质量检验检测院、贵州董宛酿酒有限公司、遵义市董程窖酒厂。</w:t>
      </w:r>
    </w:p>
    <w:p w14:paraId="6875654F" w14:textId="77777777" w:rsidR="00B11C6C" w:rsidRDefault="00000000">
      <w:pPr>
        <w:pStyle w:val="ae"/>
        <w:numPr>
          <w:ilvl w:val="0"/>
          <w:numId w:val="6"/>
        </w:numPr>
        <w:spacing w:beforeLines="50" w:before="156" w:afterLines="50" w:after="156" w:line="520" w:lineRule="exact"/>
        <w:ind w:firstLineChars="0"/>
        <w:rPr>
          <w:rFonts w:ascii="宋体" w:hAnsi="宋体"/>
          <w:b/>
          <w:bCs/>
          <w:color w:val="000000"/>
          <w:sz w:val="24"/>
          <w:szCs w:val="24"/>
        </w:rPr>
      </w:pPr>
      <w:r>
        <w:rPr>
          <w:rFonts w:ascii="宋体" w:hAnsi="宋体" w:hint="eastAsia"/>
          <w:b/>
          <w:bCs/>
          <w:color w:val="000000"/>
          <w:sz w:val="24"/>
          <w:szCs w:val="24"/>
        </w:rPr>
        <w:t>目的意义</w:t>
      </w:r>
    </w:p>
    <w:p w14:paraId="7ABC81E7" w14:textId="44FE278A"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2021</w:t>
      </w:r>
      <w:r>
        <w:rPr>
          <w:rFonts w:ascii="Times New Roman" w:eastAsia="宋体" w:hAnsi="Times New Roman" w:cs="Times New Roman" w:hint="eastAsia"/>
          <w:sz w:val="24"/>
          <w:szCs w:val="24"/>
        </w:rPr>
        <w:t>年发布的</w:t>
      </w:r>
      <w:r>
        <w:rPr>
          <w:rFonts w:ascii="Times New Roman" w:eastAsia="宋体" w:hAnsi="Times New Roman" w:cs="Times New Roman" w:hint="eastAsia"/>
          <w:sz w:val="24"/>
          <w:szCs w:val="24"/>
        </w:rPr>
        <w:t>GB/T 15109-2021</w:t>
      </w:r>
      <w:r>
        <w:rPr>
          <w:rFonts w:ascii="Times New Roman" w:eastAsia="宋体" w:hAnsi="Times New Roman" w:cs="Times New Roman" w:hint="eastAsia"/>
          <w:sz w:val="24"/>
          <w:szCs w:val="24"/>
        </w:rPr>
        <w:t>《白酒工业术语》和</w:t>
      </w:r>
      <w:r>
        <w:rPr>
          <w:rFonts w:ascii="Times New Roman" w:eastAsia="宋体" w:hAnsi="Times New Roman" w:cs="Times New Roman" w:hint="eastAsia"/>
          <w:sz w:val="24"/>
          <w:szCs w:val="24"/>
        </w:rPr>
        <w:t>GB/T 17204</w:t>
      </w:r>
      <w:r>
        <w:rPr>
          <w:rFonts w:ascii="Times New Roman" w:eastAsia="宋体" w:hAnsi="Times New Roman" w:cs="Times New Roman" w:hint="eastAsia"/>
          <w:sz w:val="24"/>
          <w:szCs w:val="24"/>
        </w:rPr>
        <w:t>《饮料酒术语和分类》从顶层设计高度完成了白酒术语的重梳理和再完善，对白酒分类进行重新调整和优化，进一步明确</w:t>
      </w:r>
      <w:r>
        <w:rPr>
          <w:rFonts w:ascii="宋体" w:eastAsia="宋体" w:hAnsi="宋体" w:cs="宋体" w:hint="eastAsia"/>
          <w:color w:val="000000"/>
          <w:sz w:val="24"/>
        </w:rPr>
        <w:t>了董香型白酒</w:t>
      </w:r>
      <w:proofErr w:type="spellStart"/>
      <w:r>
        <w:rPr>
          <w:rFonts w:ascii="宋体" w:eastAsia="宋体" w:hAnsi="宋体" w:cs="宋体" w:hint="eastAsia"/>
          <w:color w:val="000000"/>
          <w:sz w:val="24"/>
        </w:rPr>
        <w:t>dongxiangxing</w:t>
      </w:r>
      <w:proofErr w:type="spellEnd"/>
      <w:r>
        <w:rPr>
          <w:rFonts w:ascii="宋体" w:eastAsia="宋体" w:hAnsi="宋体" w:cs="宋体" w:hint="eastAsia"/>
          <w:color w:val="000000"/>
          <w:sz w:val="24"/>
        </w:rPr>
        <w:t xml:space="preserve"> baijiu工业术语。随着市场发展,为了充分发掘和保护白酒稀有资源，满足市场需求和促进白酒产业的创新发展，使“董香型”这一独特的酒种符合食品安全要求，规范、统一、制订质量标准势在必行。这样</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光能更好的</w:t>
      </w:r>
      <w:bookmarkStart w:id="2" w:name="_Hlk142496575"/>
      <w:r>
        <w:rPr>
          <w:rFonts w:ascii="宋体" w:eastAsia="宋体" w:hAnsi="宋体" w:cs="宋体" w:hint="eastAsia"/>
          <w:color w:val="000000"/>
          <w:sz w:val="24"/>
        </w:rPr>
        <w:t>提升、保障产品质量，还</w:t>
      </w:r>
      <w:r>
        <w:rPr>
          <w:rFonts w:ascii="宋体" w:hAnsi="宋体" w:hint="eastAsia"/>
          <w:color w:val="000000"/>
          <w:sz w:val="24"/>
          <w:szCs w:val="24"/>
        </w:rPr>
        <w:t>有利于传承和发扬中国白酒酿制技艺，</w:t>
      </w:r>
      <w:r>
        <w:rPr>
          <w:rFonts w:ascii="宋体" w:eastAsia="宋体" w:hAnsi="宋体" w:cs="宋体" w:hint="eastAsia"/>
          <w:color w:val="000000"/>
          <w:sz w:val="24"/>
        </w:rPr>
        <w:t>充分的挖掘、发展企业潜能，从而满足、丰富市场及</w:t>
      </w:r>
      <w:r>
        <w:rPr>
          <w:rFonts w:ascii="宋体" w:eastAsia="宋体" w:hAnsi="宋体" w:cs="宋体" w:hint="eastAsia"/>
          <w:color w:val="000000"/>
          <w:sz w:val="24"/>
        </w:rPr>
        <w:lastRenderedPageBreak/>
        <w:t>消费者的需求</w:t>
      </w:r>
      <w:bookmarkEnd w:id="2"/>
      <w:r>
        <w:rPr>
          <w:rFonts w:ascii="Times New Roman" w:eastAsia="宋体" w:hAnsi="Times New Roman" w:cs="Times New Roman" w:hint="eastAsia"/>
          <w:sz w:val="24"/>
          <w:szCs w:val="24"/>
        </w:rPr>
        <w:t>。</w:t>
      </w:r>
    </w:p>
    <w:p w14:paraId="2CD084F0" w14:textId="77777777" w:rsidR="00B11C6C" w:rsidRDefault="00000000">
      <w:pPr>
        <w:pStyle w:val="ae"/>
        <w:numPr>
          <w:ilvl w:val="0"/>
          <w:numId w:val="5"/>
        </w:numPr>
        <w:spacing w:beforeLines="50" w:before="156" w:afterLines="50" w:after="156" w:line="520" w:lineRule="exact"/>
        <w:ind w:firstLineChars="0"/>
        <w:rPr>
          <w:rFonts w:ascii="宋体" w:hAnsi="宋体"/>
          <w:b/>
          <w:bCs/>
          <w:color w:val="000000"/>
          <w:sz w:val="24"/>
          <w:szCs w:val="24"/>
        </w:rPr>
      </w:pPr>
      <w:r>
        <w:rPr>
          <w:rFonts w:ascii="宋体" w:hAnsi="宋体" w:hint="eastAsia"/>
          <w:b/>
          <w:bCs/>
          <w:color w:val="000000"/>
          <w:sz w:val="24"/>
          <w:szCs w:val="24"/>
        </w:rPr>
        <w:t>编制过程</w:t>
      </w:r>
    </w:p>
    <w:p w14:paraId="5688B524"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2022</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月，贵州董酒股份有限公司因行业需要提出《董香型白酒》团体标准立项申请，贵州董酒股份有限公司与中国酒业协会共同协商标准主要框架、适用范围和技术内容。</w:t>
      </w:r>
    </w:p>
    <w:p w14:paraId="559A0AA2"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2022</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9</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19</w:t>
      </w:r>
      <w:r>
        <w:rPr>
          <w:rFonts w:ascii="Times New Roman" w:eastAsia="宋体" w:hAnsi="Times New Roman" w:cs="Times New Roman" w:hint="eastAsia"/>
          <w:sz w:val="24"/>
          <w:szCs w:val="24"/>
        </w:rPr>
        <w:t>日，中国酒业协会团体标准审查委员会发文“关于批准《董香型白酒》团体标准立项的函”批准立项，并公开征集起草单位。</w:t>
      </w:r>
    </w:p>
    <w:p w14:paraId="1196B98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2022</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10</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月，贵州董酒股份有限公司与中国酒业协会根据标准制定框架和主要工作内容，对标准初稿中的术语定义、产品分类、感官要求、理化指标以及分析方法的内容进行多次讨论协调，形成标准初稿。</w:t>
      </w:r>
    </w:p>
    <w:p w14:paraId="5E5921C0" w14:textId="5C4B0F51"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2023</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月</w:t>
      </w:r>
      <w:r w:rsidR="0051446F">
        <w:rPr>
          <w:rFonts w:ascii="Times New Roman" w:eastAsia="宋体" w:hAnsi="Times New Roman" w:cs="Times New Roman" w:hint="eastAsia"/>
          <w:sz w:val="24"/>
          <w:szCs w:val="24"/>
        </w:rPr>
        <w:t>，为进一步明确</w:t>
      </w:r>
      <w:r w:rsidR="0051446F" w:rsidRPr="0051446F">
        <w:rPr>
          <w:rFonts w:ascii="Times New Roman" w:eastAsia="宋体" w:hAnsi="Times New Roman" w:cs="Times New Roman" w:hint="eastAsia"/>
          <w:sz w:val="24"/>
          <w:szCs w:val="24"/>
        </w:rPr>
        <w:t>董香型白酒典型样感官特征</w:t>
      </w:r>
      <w:r w:rsidR="0051446F">
        <w:rPr>
          <w:rFonts w:ascii="Times New Roman" w:eastAsia="宋体" w:hAnsi="Times New Roman" w:cs="Times New Roman" w:hint="eastAsia"/>
          <w:sz w:val="24"/>
          <w:szCs w:val="24"/>
        </w:rPr>
        <w:t>，秘书处组织起草单位中具有定量检测和感官分析的</w:t>
      </w:r>
      <w:r w:rsidR="0051446F">
        <w:rPr>
          <w:rFonts w:ascii="Times New Roman" w:eastAsia="宋体" w:hAnsi="Times New Roman" w:cs="Times New Roman" w:hint="eastAsia"/>
          <w:sz w:val="24"/>
          <w:szCs w:val="24"/>
        </w:rPr>
        <w:t>5</w:t>
      </w:r>
      <w:r w:rsidR="0051446F">
        <w:rPr>
          <w:rFonts w:ascii="Times New Roman" w:eastAsia="宋体" w:hAnsi="Times New Roman" w:cs="Times New Roman" w:hint="eastAsia"/>
          <w:sz w:val="24"/>
          <w:szCs w:val="24"/>
        </w:rPr>
        <w:t>家单位进行典型酒样分析品鉴。而后</w:t>
      </w:r>
      <w:r>
        <w:rPr>
          <w:rFonts w:ascii="Times New Roman" w:eastAsia="宋体" w:hAnsi="Times New Roman" w:cs="Times New Roman" w:hint="eastAsia"/>
          <w:sz w:val="24"/>
          <w:szCs w:val="24"/>
        </w:rPr>
        <w:t>贵州董酒股份有限公司、中国</w:t>
      </w:r>
      <w:r w:rsidR="0051446F">
        <w:rPr>
          <w:rFonts w:ascii="Times New Roman" w:eastAsia="宋体" w:hAnsi="Times New Roman" w:cs="Times New Roman" w:hint="eastAsia"/>
          <w:sz w:val="24"/>
          <w:szCs w:val="24"/>
        </w:rPr>
        <w:t>酒业</w:t>
      </w:r>
      <w:r>
        <w:rPr>
          <w:rFonts w:ascii="Times New Roman" w:eastAsia="宋体" w:hAnsi="Times New Roman" w:cs="Times New Roman" w:hint="eastAsia"/>
          <w:sz w:val="24"/>
          <w:szCs w:val="24"/>
        </w:rPr>
        <w:t>协会与征集的起草单位共同召开标准讨论工作会议，说明了标准制定情况，就标准内容逐条进行讨论，根据专家提出相关意见进行答疑和建议的汇总、修订，综合起草组专家的意见进一步修改完善，会后形成标准讨论稿。</w:t>
      </w:r>
    </w:p>
    <w:p w14:paraId="1C70A030"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2023</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7</w:t>
      </w:r>
      <w:r>
        <w:rPr>
          <w:rFonts w:ascii="Times New Roman" w:eastAsia="宋体" w:hAnsi="Times New Roman" w:cs="Times New Roman" w:hint="eastAsia"/>
          <w:sz w:val="24"/>
          <w:szCs w:val="24"/>
        </w:rPr>
        <w:t>月底贵州董酒股份有限公司与中国酒业协会整合意见，编写相关材料，形成标准征求意见稿。</w:t>
      </w:r>
    </w:p>
    <w:p w14:paraId="27BE1852" w14:textId="77777777" w:rsidR="00B11C6C" w:rsidRDefault="00000000">
      <w:pPr>
        <w:spacing w:line="520" w:lineRule="exact"/>
        <w:rPr>
          <w:rFonts w:ascii="宋体" w:hAnsi="宋体"/>
          <w:b/>
          <w:color w:val="000000"/>
          <w:sz w:val="24"/>
          <w:szCs w:val="24"/>
        </w:rPr>
      </w:pPr>
      <w:r>
        <w:rPr>
          <w:rFonts w:ascii="宋体" w:hAnsi="宋体" w:hint="eastAsia"/>
          <w:b/>
          <w:color w:val="000000"/>
          <w:sz w:val="24"/>
          <w:szCs w:val="24"/>
        </w:rPr>
        <w:t>三、</w:t>
      </w:r>
      <w:proofErr w:type="gramStart"/>
      <w:r>
        <w:rPr>
          <w:rFonts w:ascii="宋体" w:hAnsi="宋体" w:hint="eastAsia"/>
          <w:b/>
          <w:color w:val="000000"/>
          <w:sz w:val="24"/>
          <w:szCs w:val="24"/>
        </w:rPr>
        <w:t>制标原则</w:t>
      </w:r>
      <w:proofErr w:type="gramEnd"/>
      <w:r>
        <w:rPr>
          <w:rFonts w:ascii="宋体" w:hAnsi="宋体" w:hint="eastAsia"/>
          <w:b/>
          <w:color w:val="000000"/>
          <w:sz w:val="24"/>
          <w:szCs w:val="24"/>
        </w:rPr>
        <w:t>和对主要条款的说明</w:t>
      </w:r>
    </w:p>
    <w:p w14:paraId="42B7D52F" w14:textId="77777777" w:rsidR="00B11C6C" w:rsidRDefault="00000000">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1、</w:t>
      </w:r>
      <w:proofErr w:type="gramStart"/>
      <w:r>
        <w:rPr>
          <w:rFonts w:ascii="宋体" w:eastAsia="宋体" w:hAnsi="宋体" w:cs="Times New Roman" w:hint="eastAsia"/>
          <w:b/>
          <w:bCs/>
          <w:sz w:val="24"/>
          <w:szCs w:val="24"/>
        </w:rPr>
        <w:t>制标原则</w:t>
      </w:r>
      <w:proofErr w:type="gramEnd"/>
    </w:p>
    <w:p w14:paraId="217A4C49" w14:textId="77777777" w:rsidR="00B11C6C" w:rsidRDefault="00000000">
      <w:pPr>
        <w:spacing w:line="480" w:lineRule="auto"/>
        <w:ind w:firstLineChars="200" w:firstLine="482"/>
        <w:rPr>
          <w:rFonts w:ascii="宋体" w:eastAsia="宋体" w:hAnsi="宋体" w:cs="Times New Roman"/>
          <w:sz w:val="24"/>
          <w:szCs w:val="24"/>
        </w:rPr>
      </w:pPr>
      <w:r>
        <w:rPr>
          <w:rFonts w:ascii="宋体" w:eastAsia="宋体" w:hAnsi="宋体" w:cs="Times New Roman" w:hint="eastAsia"/>
          <w:b/>
          <w:bCs/>
          <w:sz w:val="24"/>
          <w:szCs w:val="24"/>
        </w:rPr>
        <w:t>a</w:t>
      </w:r>
      <w:r>
        <w:rPr>
          <w:rFonts w:ascii="宋体" w:eastAsia="宋体" w:hAnsi="宋体" w:cs="Times New Roman"/>
          <w:b/>
          <w:bCs/>
          <w:sz w:val="24"/>
          <w:szCs w:val="24"/>
        </w:rPr>
        <w:t>)</w:t>
      </w:r>
      <w:r>
        <w:rPr>
          <w:rFonts w:ascii="宋体" w:eastAsia="宋体" w:hAnsi="宋体" w:cs="Times New Roman" w:hint="eastAsia"/>
          <w:b/>
          <w:bCs/>
          <w:sz w:val="24"/>
          <w:szCs w:val="24"/>
        </w:rPr>
        <w:t>规范性原则</w:t>
      </w:r>
      <w:r>
        <w:rPr>
          <w:rFonts w:ascii="宋体" w:eastAsia="宋体" w:hAnsi="宋体" w:cs="Times New Roman" w:hint="eastAsia"/>
          <w:sz w:val="24"/>
          <w:szCs w:val="24"/>
        </w:rPr>
        <w:t>。本标准以国家、行业现有的标准为制定基础，本着先进性、科学性、合理性、可行性和可操作性的原则来进行本标准的制定工作，主要依据</w:t>
      </w:r>
      <w:bookmarkStart w:id="3" w:name="_Hlk86420438"/>
      <w:r>
        <w:rPr>
          <w:rFonts w:ascii="Times New Roman" w:eastAsia="宋体" w:hAnsi="Times New Roman" w:cs="Times New Roman"/>
          <w:sz w:val="24"/>
          <w:szCs w:val="24"/>
        </w:rPr>
        <w:lastRenderedPageBreak/>
        <w:t>GB/T 1.1-2020</w:t>
      </w:r>
      <w:r>
        <w:rPr>
          <w:rFonts w:ascii="宋体" w:eastAsia="宋体" w:hAnsi="宋体" w:cs="Times New Roman" w:hint="eastAsia"/>
          <w:sz w:val="24"/>
          <w:szCs w:val="24"/>
        </w:rPr>
        <w:t>《标准化工作导则 第1部分：标准化文件的结构和起草规则》、</w:t>
      </w:r>
      <w:r>
        <w:rPr>
          <w:rFonts w:ascii="Times New Roman" w:eastAsia="宋体" w:hAnsi="Times New Roman" w:cs="Times New Roman"/>
          <w:sz w:val="24"/>
          <w:szCs w:val="24"/>
        </w:rPr>
        <w:t xml:space="preserve">GB/T 20004.1-2016 </w:t>
      </w:r>
      <w:r>
        <w:rPr>
          <w:rFonts w:ascii="Times New Roman" w:eastAsia="宋体" w:hAnsi="Times New Roman" w:cs="Times New Roman"/>
          <w:sz w:val="24"/>
          <w:szCs w:val="24"/>
        </w:rPr>
        <w:t>团体标准化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第</w:t>
      </w:r>
      <w:r>
        <w:rPr>
          <w:rFonts w:ascii="Times New Roman" w:eastAsia="宋体" w:hAnsi="Times New Roman" w:cs="Times New Roman"/>
          <w:sz w:val="24"/>
          <w:szCs w:val="24"/>
        </w:rPr>
        <w:t>1</w:t>
      </w:r>
      <w:r>
        <w:rPr>
          <w:rFonts w:ascii="Times New Roman" w:eastAsia="宋体" w:hAnsi="Times New Roman" w:cs="Times New Roman"/>
          <w:sz w:val="24"/>
          <w:szCs w:val="24"/>
        </w:rPr>
        <w:t>部分：良好行为指南、</w:t>
      </w:r>
      <w:r>
        <w:rPr>
          <w:rFonts w:ascii="Times New Roman" w:eastAsia="宋体" w:hAnsi="Times New Roman" w:cs="Times New Roman"/>
          <w:sz w:val="24"/>
          <w:szCs w:val="24"/>
        </w:rPr>
        <w:t xml:space="preserve">GB/T 20004.2-2018 </w:t>
      </w:r>
      <w:r>
        <w:rPr>
          <w:rFonts w:ascii="Times New Roman" w:eastAsia="宋体" w:hAnsi="Times New Roman" w:cs="Times New Roman"/>
          <w:sz w:val="24"/>
          <w:szCs w:val="24"/>
        </w:rPr>
        <w:t>团体标准化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第</w:t>
      </w:r>
      <w:r>
        <w:rPr>
          <w:rFonts w:ascii="Times New Roman" w:eastAsia="宋体" w:hAnsi="Times New Roman" w:cs="Times New Roman"/>
          <w:sz w:val="24"/>
          <w:szCs w:val="24"/>
        </w:rPr>
        <w:t>2</w:t>
      </w:r>
      <w:r>
        <w:rPr>
          <w:rFonts w:ascii="Times New Roman" w:eastAsia="宋体" w:hAnsi="Times New Roman" w:cs="Times New Roman"/>
          <w:sz w:val="24"/>
          <w:szCs w:val="24"/>
        </w:rPr>
        <w:t>部分：良好行为评价</w:t>
      </w:r>
      <w:r>
        <w:rPr>
          <w:rFonts w:ascii="宋体" w:eastAsia="宋体" w:hAnsi="宋体" w:cs="Times New Roman"/>
          <w:sz w:val="24"/>
          <w:szCs w:val="24"/>
        </w:rPr>
        <w:t>指南</w:t>
      </w:r>
      <w:r>
        <w:rPr>
          <w:rFonts w:ascii="宋体" w:eastAsia="宋体" w:hAnsi="宋体" w:cs="Times New Roman" w:hint="eastAsia"/>
          <w:sz w:val="24"/>
          <w:szCs w:val="24"/>
        </w:rPr>
        <w:t>和《团体标准管理规定》的规定编写内容。</w:t>
      </w:r>
      <w:bookmarkEnd w:id="3"/>
    </w:p>
    <w:p w14:paraId="6BCD48AF" w14:textId="77777777" w:rsidR="00B11C6C" w:rsidRDefault="00000000">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b)</w:t>
      </w:r>
      <w:r>
        <w:rPr>
          <w:rFonts w:ascii="宋体" w:eastAsia="宋体" w:hAnsi="宋体" w:cs="Times New Roman" w:hint="eastAsia"/>
          <w:b/>
          <w:bCs/>
          <w:sz w:val="24"/>
          <w:szCs w:val="24"/>
        </w:rPr>
        <w:t>系统性原则</w:t>
      </w:r>
      <w:r>
        <w:rPr>
          <w:rFonts w:ascii="宋体" w:eastAsia="宋体" w:hAnsi="宋体" w:cs="Times New Roman" w:hint="eastAsia"/>
          <w:sz w:val="24"/>
          <w:szCs w:val="24"/>
        </w:rPr>
        <w:t>。本标准与</w:t>
      </w:r>
      <w:r>
        <w:rPr>
          <w:rFonts w:ascii="Times New Roman" w:eastAsia="宋体" w:hAnsi="Times New Roman" w:cs="Times New Roman"/>
          <w:sz w:val="24"/>
          <w:szCs w:val="24"/>
        </w:rPr>
        <w:t>GB/T 191</w:t>
      </w:r>
      <w:r>
        <w:rPr>
          <w:rFonts w:ascii="Times New Roman" w:eastAsia="宋体" w:hAnsi="Times New Roman" w:cs="Times New Roman"/>
          <w:sz w:val="24"/>
          <w:szCs w:val="24"/>
        </w:rPr>
        <w:tab/>
      </w:r>
      <w:r>
        <w:rPr>
          <w:rFonts w:ascii="Times New Roman" w:eastAsia="宋体" w:hAnsi="Times New Roman" w:cs="Times New Roman"/>
          <w:sz w:val="24"/>
          <w:szCs w:val="24"/>
        </w:rPr>
        <w:t>、</w:t>
      </w:r>
      <w:r>
        <w:rPr>
          <w:rFonts w:ascii="Times New Roman" w:eastAsia="宋体" w:hAnsi="Times New Roman" w:cs="Times New Roman"/>
          <w:sz w:val="24"/>
          <w:szCs w:val="24"/>
        </w:rPr>
        <w:t>GB 2760</w:t>
      </w:r>
      <w:r>
        <w:rPr>
          <w:rFonts w:ascii="Times New Roman" w:eastAsia="宋体" w:hAnsi="Times New Roman" w:cs="Times New Roman"/>
          <w:sz w:val="24"/>
          <w:szCs w:val="24"/>
        </w:rPr>
        <w:t>、</w:t>
      </w:r>
      <w:r>
        <w:rPr>
          <w:rFonts w:ascii="Times New Roman" w:eastAsia="宋体" w:hAnsi="Times New Roman" w:cs="Times New Roman"/>
          <w:sz w:val="24"/>
          <w:szCs w:val="24"/>
        </w:rPr>
        <w:t>GB 5009.12</w:t>
      </w:r>
      <w:r>
        <w:rPr>
          <w:rFonts w:ascii="Times New Roman" w:eastAsia="宋体" w:hAnsi="Times New Roman" w:cs="Times New Roman"/>
          <w:sz w:val="24"/>
          <w:szCs w:val="24"/>
        </w:rPr>
        <w:t>、</w:t>
      </w:r>
      <w:r>
        <w:rPr>
          <w:rFonts w:ascii="Times New Roman" w:eastAsia="宋体" w:hAnsi="Times New Roman" w:cs="Times New Roman"/>
          <w:sz w:val="24"/>
          <w:szCs w:val="24"/>
        </w:rPr>
        <w:t>GB 5009.36</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GB 5009.225</w:t>
      </w:r>
      <w:r>
        <w:rPr>
          <w:rFonts w:ascii="Times New Roman" w:eastAsia="宋体" w:hAnsi="Times New Roman" w:cs="Times New Roman"/>
          <w:sz w:val="24"/>
          <w:szCs w:val="24"/>
        </w:rPr>
        <w:t>、</w:t>
      </w:r>
      <w:r>
        <w:rPr>
          <w:rFonts w:ascii="Times New Roman" w:eastAsia="宋体" w:hAnsi="Times New Roman" w:cs="Times New Roman"/>
          <w:sz w:val="24"/>
          <w:szCs w:val="24"/>
        </w:rPr>
        <w:t>GB 5009.266</w:t>
      </w:r>
      <w:r>
        <w:rPr>
          <w:rFonts w:ascii="Times New Roman" w:eastAsia="宋体" w:hAnsi="Times New Roman" w:cs="Times New Roman"/>
          <w:sz w:val="24"/>
          <w:szCs w:val="24"/>
        </w:rPr>
        <w:t>、</w:t>
      </w:r>
      <w:r>
        <w:rPr>
          <w:rFonts w:ascii="Times New Roman" w:eastAsia="宋体" w:hAnsi="Times New Roman" w:cs="Times New Roman"/>
          <w:sz w:val="24"/>
          <w:szCs w:val="24"/>
        </w:rPr>
        <w:t>GB 7718</w:t>
      </w:r>
      <w:r>
        <w:rPr>
          <w:rFonts w:ascii="Times New Roman" w:eastAsia="宋体" w:hAnsi="Times New Roman" w:cs="Times New Roman"/>
          <w:sz w:val="24"/>
          <w:szCs w:val="24"/>
        </w:rPr>
        <w:t>、</w:t>
      </w:r>
      <w:r>
        <w:rPr>
          <w:rFonts w:ascii="Times New Roman" w:eastAsia="宋体" w:hAnsi="Times New Roman" w:cs="Times New Roman"/>
          <w:sz w:val="24"/>
          <w:szCs w:val="24"/>
        </w:rPr>
        <w:t>GB 12456</w:t>
      </w:r>
      <w:r>
        <w:rPr>
          <w:rFonts w:ascii="Times New Roman" w:eastAsia="宋体" w:hAnsi="Times New Roman" w:cs="Times New Roman"/>
          <w:sz w:val="24"/>
          <w:szCs w:val="24"/>
        </w:rPr>
        <w:t>、</w:t>
      </w:r>
      <w:r>
        <w:rPr>
          <w:rFonts w:ascii="Times New Roman" w:eastAsia="宋体" w:hAnsi="Times New Roman" w:cs="Times New Roman"/>
          <w:sz w:val="24"/>
          <w:szCs w:val="24"/>
        </w:rPr>
        <w:t>GB/T 10345</w:t>
      </w:r>
      <w:r>
        <w:rPr>
          <w:rFonts w:ascii="Times New Roman" w:eastAsia="宋体" w:hAnsi="Times New Roman" w:cs="Times New Roman"/>
          <w:sz w:val="24"/>
          <w:szCs w:val="24"/>
        </w:rPr>
        <w:t>、</w:t>
      </w:r>
      <w:r>
        <w:rPr>
          <w:rFonts w:ascii="Times New Roman" w:eastAsia="宋体" w:hAnsi="Times New Roman" w:cs="Times New Roman"/>
          <w:sz w:val="24"/>
          <w:szCs w:val="24"/>
        </w:rPr>
        <w:t>GB/T 17204</w:t>
      </w:r>
      <w:r>
        <w:rPr>
          <w:rFonts w:ascii="宋体" w:eastAsia="宋体" w:hAnsi="宋体" w:cs="Times New Roman" w:hint="eastAsia"/>
          <w:sz w:val="24"/>
          <w:szCs w:val="24"/>
        </w:rPr>
        <w:t>等引用的法规标准协调一致。按照术语和定义、要求、试验方法、检验规则和标志、包装、运输、贮存的5个部分展开。</w:t>
      </w:r>
    </w:p>
    <w:p w14:paraId="3D6A5C4F" w14:textId="77777777" w:rsidR="00B11C6C" w:rsidRDefault="00000000">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c)</w:t>
      </w:r>
      <w:r>
        <w:rPr>
          <w:rFonts w:ascii="宋体" w:eastAsia="宋体" w:hAnsi="宋体" w:cs="Times New Roman" w:hint="eastAsia"/>
          <w:b/>
          <w:bCs/>
          <w:sz w:val="24"/>
          <w:szCs w:val="24"/>
        </w:rPr>
        <w:t>行业性原则</w:t>
      </w:r>
      <w:r>
        <w:rPr>
          <w:rFonts w:ascii="宋体" w:eastAsia="宋体" w:hAnsi="宋体" w:cs="Times New Roman"/>
          <w:sz w:val="24"/>
          <w:szCs w:val="24"/>
        </w:rPr>
        <w:t>。</w:t>
      </w:r>
      <w:r>
        <w:rPr>
          <w:rFonts w:ascii="宋体" w:eastAsia="宋体" w:hAnsi="宋体" w:cs="Times New Roman" w:hint="eastAsia"/>
          <w:sz w:val="24"/>
          <w:szCs w:val="24"/>
        </w:rPr>
        <w:t>董香型白酒的术语和定义与</w:t>
      </w:r>
      <w:r>
        <w:rPr>
          <w:rFonts w:ascii="Times New Roman" w:eastAsia="宋体" w:hAnsi="Times New Roman" w:cs="Times New Roman" w:hint="eastAsia"/>
          <w:sz w:val="24"/>
          <w:szCs w:val="24"/>
        </w:rPr>
        <w:t>GB/T 15109-2021</w:t>
      </w:r>
      <w:r>
        <w:rPr>
          <w:rFonts w:ascii="Times New Roman" w:eastAsia="宋体" w:hAnsi="Times New Roman" w:cs="Times New Roman" w:hint="eastAsia"/>
          <w:sz w:val="24"/>
          <w:szCs w:val="24"/>
        </w:rPr>
        <w:t>《白酒工业术语》和</w:t>
      </w:r>
      <w:r>
        <w:rPr>
          <w:rFonts w:ascii="Times New Roman" w:eastAsia="宋体" w:hAnsi="Times New Roman" w:cs="Times New Roman" w:hint="eastAsia"/>
          <w:sz w:val="24"/>
          <w:szCs w:val="24"/>
        </w:rPr>
        <w:t>GB/T 17204</w:t>
      </w:r>
      <w:r>
        <w:rPr>
          <w:rFonts w:ascii="Times New Roman" w:eastAsia="宋体" w:hAnsi="Times New Roman" w:cs="Times New Roman" w:hint="eastAsia"/>
          <w:sz w:val="24"/>
          <w:szCs w:val="24"/>
        </w:rPr>
        <w:t>《饮料酒术语和分类》中界定的术语和定义保持一致</w:t>
      </w:r>
      <w:r>
        <w:rPr>
          <w:rFonts w:ascii="宋体" w:eastAsia="宋体" w:hAnsi="宋体" w:cs="Times New Roman" w:hint="eastAsia"/>
          <w:sz w:val="24"/>
          <w:szCs w:val="24"/>
        </w:rPr>
        <w:t>，对董香型白酒的产品感官和理化性质进一步规范，结合现有技术水平和生产的实际情况，提出符合董香型白酒行业发展的行业性要求。</w:t>
      </w:r>
    </w:p>
    <w:p w14:paraId="34640A8E" w14:textId="77777777" w:rsidR="00B11C6C" w:rsidRDefault="00000000">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d)</w:t>
      </w:r>
      <w:r>
        <w:rPr>
          <w:rFonts w:ascii="宋体" w:eastAsia="宋体" w:hAnsi="宋体" w:cs="Times New Roman" w:hint="eastAsia"/>
          <w:b/>
          <w:bCs/>
          <w:sz w:val="24"/>
          <w:szCs w:val="24"/>
        </w:rPr>
        <w:t>定量与定性结合原则</w:t>
      </w:r>
      <w:r>
        <w:rPr>
          <w:rFonts w:ascii="宋体" w:eastAsia="宋体" w:hAnsi="宋体" w:cs="Times New Roman" w:hint="eastAsia"/>
          <w:sz w:val="24"/>
          <w:szCs w:val="24"/>
        </w:rPr>
        <w:t>。感官要求的定性指标结合理化要求的定量指标，结合实现对董香型白酒产品的质量管控。</w:t>
      </w:r>
    </w:p>
    <w:p w14:paraId="7CF5CAD7" w14:textId="77777777" w:rsidR="00B11C6C" w:rsidRDefault="00000000">
      <w:pPr>
        <w:spacing w:line="480" w:lineRule="auto"/>
        <w:ind w:firstLineChars="200" w:firstLine="482"/>
        <w:rPr>
          <w:rFonts w:ascii="Times New Roman" w:eastAsia="宋体" w:hAnsi="Times New Roman" w:cs="Times New Roman"/>
          <w:sz w:val="24"/>
          <w:szCs w:val="24"/>
        </w:rPr>
      </w:pPr>
      <w:r>
        <w:rPr>
          <w:rFonts w:ascii="宋体" w:eastAsia="宋体" w:hAnsi="宋体" w:cs="Times New Roman"/>
          <w:b/>
          <w:bCs/>
          <w:sz w:val="24"/>
          <w:szCs w:val="24"/>
        </w:rPr>
        <w:t>e)</w:t>
      </w:r>
      <w:r>
        <w:rPr>
          <w:rFonts w:ascii="宋体" w:eastAsia="宋体" w:hAnsi="宋体" w:cs="Times New Roman" w:hint="eastAsia"/>
          <w:b/>
          <w:bCs/>
          <w:sz w:val="24"/>
          <w:szCs w:val="24"/>
        </w:rPr>
        <w:t>可行性和可操作性原则</w:t>
      </w:r>
      <w:r>
        <w:rPr>
          <w:rFonts w:ascii="宋体" w:eastAsia="宋体" w:hAnsi="宋体" w:cs="Times New Roman" w:hint="eastAsia"/>
          <w:sz w:val="24"/>
          <w:szCs w:val="24"/>
        </w:rPr>
        <w:t>。本标准中的评价指标体系简易可行，对于董香型白酒产品具有可行性和可操作性。</w:t>
      </w:r>
    </w:p>
    <w:p w14:paraId="7C739176" w14:textId="77777777" w:rsidR="00B11C6C" w:rsidRDefault="00000000">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2、标准主要条款的论据</w:t>
      </w:r>
    </w:p>
    <w:p w14:paraId="78A069B4" w14:textId="77777777" w:rsidR="00B11C6C" w:rsidRDefault="00000000">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a</w:t>
      </w:r>
      <w:r>
        <w:rPr>
          <w:rFonts w:ascii="宋体" w:eastAsia="宋体" w:hAnsi="宋体" w:cs="Times New Roman"/>
          <w:b/>
          <w:bCs/>
          <w:sz w:val="24"/>
          <w:szCs w:val="24"/>
        </w:rPr>
        <w:t>)标准名称</w:t>
      </w:r>
    </w:p>
    <w:p w14:paraId="3D0418C0" w14:textId="4663B8D2"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在</w:t>
      </w:r>
      <w:r>
        <w:rPr>
          <w:rFonts w:ascii="Times New Roman" w:eastAsia="宋体" w:hAnsi="Times New Roman" w:cs="Times New Roman" w:hint="eastAsia"/>
          <w:sz w:val="24"/>
          <w:szCs w:val="24"/>
        </w:rPr>
        <w:t>GB/T 15109-2021</w:t>
      </w:r>
      <w:r>
        <w:rPr>
          <w:rFonts w:ascii="Times New Roman" w:eastAsia="宋体" w:hAnsi="Times New Roman" w:cs="Times New Roman" w:hint="eastAsia"/>
          <w:sz w:val="24"/>
          <w:szCs w:val="24"/>
        </w:rPr>
        <w:t>《白酒工业术语》和</w:t>
      </w:r>
      <w:r>
        <w:rPr>
          <w:rFonts w:ascii="Times New Roman" w:eastAsia="宋体" w:hAnsi="Times New Roman" w:cs="Times New Roman" w:hint="eastAsia"/>
          <w:sz w:val="24"/>
          <w:szCs w:val="24"/>
        </w:rPr>
        <w:t>GB/T 17204</w:t>
      </w:r>
      <w:r>
        <w:rPr>
          <w:rFonts w:ascii="Times New Roman" w:eastAsia="宋体" w:hAnsi="Times New Roman" w:cs="Times New Roman" w:hint="eastAsia"/>
          <w:sz w:val="24"/>
          <w:szCs w:val="24"/>
        </w:rPr>
        <w:t>《饮料酒术语和分类》国家标准修订过程中，对白酒分类进行重新调整和优化，进一步明确了不同工艺白酒的属性，并</w:t>
      </w:r>
      <w:r>
        <w:rPr>
          <w:rFonts w:ascii="宋体" w:eastAsia="宋体" w:hAnsi="宋体" w:cs="宋体" w:hint="eastAsia"/>
          <w:color w:val="000000"/>
          <w:sz w:val="24"/>
        </w:rPr>
        <w:t>明确了董香型白酒</w:t>
      </w:r>
      <w:proofErr w:type="spellStart"/>
      <w:r>
        <w:rPr>
          <w:rFonts w:ascii="宋体" w:eastAsia="宋体" w:hAnsi="宋体" w:cs="宋体" w:hint="eastAsia"/>
          <w:color w:val="000000"/>
          <w:sz w:val="24"/>
        </w:rPr>
        <w:t>dongxiangxing</w:t>
      </w:r>
      <w:proofErr w:type="spellEnd"/>
      <w:r>
        <w:rPr>
          <w:rFonts w:ascii="宋体" w:eastAsia="宋体" w:hAnsi="宋体" w:cs="宋体" w:hint="eastAsia"/>
          <w:color w:val="000000"/>
          <w:sz w:val="24"/>
        </w:rPr>
        <w:t xml:space="preserve"> baijiu工业术语</w:t>
      </w:r>
      <w:r>
        <w:rPr>
          <w:rFonts w:ascii="Times New Roman" w:eastAsia="宋体" w:hAnsi="Times New Roman" w:cs="Times New Roman" w:hint="eastAsia"/>
          <w:sz w:val="24"/>
          <w:szCs w:val="24"/>
        </w:rPr>
        <w:t>。</w:t>
      </w:r>
      <w:r>
        <w:rPr>
          <w:rFonts w:ascii="Times New Roman" w:eastAsia="宋体" w:hAnsi="Times New Roman" w:cs="Times New Roman"/>
          <w:sz w:val="24"/>
          <w:szCs w:val="24"/>
        </w:rPr>
        <w:t>所以标准名称为</w:t>
      </w:r>
      <w:r>
        <w:rPr>
          <w:rFonts w:ascii="Times New Roman" w:eastAsia="宋体" w:hAnsi="Times New Roman" w:cs="Times New Roman" w:hint="eastAsia"/>
          <w:sz w:val="24"/>
          <w:szCs w:val="24"/>
        </w:rPr>
        <w:t>《董香型白酒》</w:t>
      </w:r>
      <w:r>
        <w:rPr>
          <w:rFonts w:ascii="Times New Roman" w:eastAsia="宋体" w:hAnsi="Times New Roman" w:cs="Times New Roman"/>
          <w:sz w:val="24"/>
          <w:szCs w:val="24"/>
        </w:rPr>
        <w:t>。</w:t>
      </w:r>
    </w:p>
    <w:p w14:paraId="6136490D" w14:textId="77777777" w:rsidR="00B11C6C" w:rsidRDefault="00000000">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lastRenderedPageBreak/>
        <w:t>b)规范性引用文件</w:t>
      </w:r>
    </w:p>
    <w:p w14:paraId="7A9D669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本文件是产品标准，</w:t>
      </w:r>
      <w:r>
        <w:rPr>
          <w:rFonts w:ascii="宋体" w:eastAsia="宋体" w:hAnsi="宋体" w:cs="Times New Roman" w:hint="eastAsia"/>
          <w:sz w:val="24"/>
          <w:szCs w:val="24"/>
        </w:rPr>
        <w:t>包含术语、质量、包装、储运等要求，本标准编制主要依据包括</w:t>
      </w:r>
      <w:r>
        <w:rPr>
          <w:rFonts w:ascii="Times New Roman" w:eastAsia="宋体" w:hAnsi="Times New Roman" w:cs="Times New Roman" w:hint="eastAsia"/>
          <w:sz w:val="24"/>
          <w:szCs w:val="24"/>
        </w:rPr>
        <w:t>。</w:t>
      </w:r>
    </w:p>
    <w:p w14:paraId="03768EA6"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 1351    </w:t>
      </w:r>
      <w:r>
        <w:rPr>
          <w:rFonts w:ascii="Times New Roman" w:eastAsia="宋体" w:hAnsi="Times New Roman" w:cs="Times New Roman" w:hint="eastAsia"/>
          <w:sz w:val="24"/>
          <w:szCs w:val="24"/>
        </w:rPr>
        <w:t>小麦</w:t>
      </w:r>
    </w:p>
    <w:p w14:paraId="764B2249"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GB/T 1354  </w:t>
      </w:r>
      <w:r>
        <w:rPr>
          <w:rFonts w:ascii="Times New Roman" w:eastAsia="宋体" w:hAnsi="Times New Roman" w:cs="Times New Roman" w:hint="eastAsia"/>
          <w:sz w:val="24"/>
          <w:szCs w:val="24"/>
        </w:rPr>
        <w:t>大米</w:t>
      </w:r>
    </w:p>
    <w:p w14:paraId="3B6F3C43"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 5009.225 </w:t>
      </w:r>
      <w:r>
        <w:rPr>
          <w:rFonts w:ascii="Times New Roman" w:eastAsia="宋体" w:hAnsi="Times New Roman" w:cs="Times New Roman" w:hint="eastAsia"/>
          <w:sz w:val="24"/>
          <w:szCs w:val="24"/>
        </w:rPr>
        <w:t>食品安全国家标准</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酒中乙醇浓度的测定</w:t>
      </w:r>
    </w:p>
    <w:p w14:paraId="3567A5F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GB/T 6682  </w:t>
      </w:r>
      <w:r>
        <w:rPr>
          <w:rFonts w:ascii="Times New Roman" w:eastAsia="宋体" w:hAnsi="Times New Roman" w:cs="Times New Roman" w:hint="eastAsia"/>
          <w:sz w:val="24"/>
          <w:szCs w:val="24"/>
        </w:rPr>
        <w:t>分析实验室用水规格和试验方法</w:t>
      </w:r>
    </w:p>
    <w:p w14:paraId="6457B7F8"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GB/T 8231  </w:t>
      </w:r>
      <w:r>
        <w:rPr>
          <w:rFonts w:ascii="Times New Roman" w:eastAsia="宋体" w:hAnsi="Times New Roman" w:cs="Times New Roman" w:hint="eastAsia"/>
          <w:sz w:val="24"/>
          <w:szCs w:val="24"/>
        </w:rPr>
        <w:t>高粱</w:t>
      </w:r>
    </w:p>
    <w:p w14:paraId="143995D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 12456   </w:t>
      </w:r>
      <w:r>
        <w:rPr>
          <w:rFonts w:ascii="Times New Roman" w:eastAsia="宋体" w:hAnsi="Times New Roman" w:cs="Times New Roman" w:hint="eastAsia"/>
          <w:sz w:val="24"/>
          <w:szCs w:val="24"/>
        </w:rPr>
        <w:t>食品安全国家标准</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食品中总酸的测定</w:t>
      </w:r>
    </w:p>
    <w:p w14:paraId="003700E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GB/T 10345 </w:t>
      </w:r>
      <w:r>
        <w:rPr>
          <w:rFonts w:ascii="Times New Roman" w:eastAsia="宋体" w:hAnsi="Times New Roman" w:cs="Times New Roman" w:hint="eastAsia"/>
          <w:sz w:val="24"/>
          <w:szCs w:val="24"/>
        </w:rPr>
        <w:t>白酒分析方法</w:t>
      </w:r>
    </w:p>
    <w:p w14:paraId="592B3C11"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GB/T 10346 </w:t>
      </w:r>
      <w:r>
        <w:rPr>
          <w:rFonts w:ascii="Times New Roman" w:eastAsia="宋体" w:hAnsi="Times New Roman" w:cs="Times New Roman" w:hint="eastAsia"/>
          <w:sz w:val="24"/>
          <w:szCs w:val="24"/>
        </w:rPr>
        <w:t>白酒检验规则和标志、包装、运输、贮存</w:t>
      </w:r>
    </w:p>
    <w:p w14:paraId="6AAC4C50"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GB/T 15109 </w:t>
      </w:r>
      <w:r>
        <w:rPr>
          <w:rFonts w:ascii="Times New Roman" w:eastAsia="宋体" w:hAnsi="Times New Roman" w:cs="Times New Roman" w:hint="eastAsia"/>
          <w:sz w:val="24"/>
          <w:szCs w:val="24"/>
        </w:rPr>
        <w:t>白酒工业术语</w:t>
      </w:r>
    </w:p>
    <w:p w14:paraId="6EF8961E"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JJF 1070    </w:t>
      </w:r>
      <w:r>
        <w:rPr>
          <w:rFonts w:ascii="Times New Roman" w:eastAsia="宋体" w:hAnsi="Times New Roman" w:cs="Times New Roman" w:hint="eastAsia"/>
          <w:sz w:val="24"/>
          <w:szCs w:val="24"/>
        </w:rPr>
        <w:t>定量包装商品净含量检验规则</w:t>
      </w:r>
    </w:p>
    <w:p w14:paraId="51A3DCCE"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定量包装商品计量监督管理办法（国家市场监督管理总局令第</w:t>
      </w:r>
      <w:r>
        <w:rPr>
          <w:rFonts w:ascii="Times New Roman" w:eastAsia="宋体" w:hAnsi="Times New Roman" w:cs="Times New Roman" w:hint="eastAsia"/>
          <w:sz w:val="24"/>
          <w:szCs w:val="24"/>
        </w:rPr>
        <w:t>70</w:t>
      </w:r>
      <w:r>
        <w:rPr>
          <w:rFonts w:ascii="Times New Roman" w:eastAsia="宋体" w:hAnsi="Times New Roman" w:cs="Times New Roman" w:hint="eastAsia"/>
          <w:sz w:val="24"/>
          <w:szCs w:val="24"/>
        </w:rPr>
        <w:t>号）</w:t>
      </w:r>
    </w:p>
    <w:p w14:paraId="165AB7DC" w14:textId="77777777" w:rsidR="00B11C6C" w:rsidRDefault="00000000">
      <w:pPr>
        <w:spacing w:line="480" w:lineRule="auto"/>
        <w:rPr>
          <w:rFonts w:ascii="Times New Roman" w:eastAsia="宋体" w:hAnsi="Times New Roman" w:cs="Times New Roman"/>
          <w:sz w:val="24"/>
          <w:szCs w:val="24"/>
        </w:rPr>
      </w:pPr>
      <w:r>
        <w:rPr>
          <w:rFonts w:ascii="宋体" w:eastAsia="宋体" w:hAnsi="宋体" w:cs="Times New Roman" w:hint="eastAsia"/>
          <w:b/>
          <w:bCs/>
          <w:sz w:val="24"/>
          <w:szCs w:val="24"/>
        </w:rPr>
        <w:t>c)术语定义</w:t>
      </w:r>
    </w:p>
    <w:p w14:paraId="314C316A"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标准术语和定义中关于董香型白酒的描述，在</w:t>
      </w:r>
      <w:r>
        <w:rPr>
          <w:rFonts w:ascii="Times New Roman" w:eastAsia="宋体" w:hAnsi="Times New Roman" w:cs="Times New Roman" w:hint="eastAsia"/>
          <w:sz w:val="24"/>
          <w:szCs w:val="24"/>
        </w:rPr>
        <w:t>2021</w:t>
      </w:r>
      <w:r>
        <w:rPr>
          <w:rFonts w:ascii="Times New Roman" w:eastAsia="宋体" w:hAnsi="Times New Roman" w:cs="Times New Roman" w:hint="eastAsia"/>
          <w:sz w:val="24"/>
          <w:szCs w:val="24"/>
        </w:rPr>
        <w:t>年国家发布的《饮料酒术语和分类》</w:t>
      </w:r>
      <w:r>
        <w:rPr>
          <w:rFonts w:ascii="Times New Roman" w:eastAsia="宋体" w:hAnsi="Times New Roman" w:cs="Times New Roman" w:hint="eastAsia"/>
          <w:sz w:val="24"/>
          <w:szCs w:val="24"/>
        </w:rPr>
        <w:t>(GB/T 17204-2021)</w:t>
      </w:r>
      <w:r>
        <w:rPr>
          <w:rFonts w:ascii="Times New Roman" w:eastAsia="宋体" w:hAnsi="Times New Roman" w:cs="Times New Roman" w:hint="eastAsia"/>
          <w:sz w:val="24"/>
          <w:szCs w:val="24"/>
        </w:rPr>
        <w:t>和《白酒工业术语》（</w:t>
      </w:r>
      <w:r>
        <w:rPr>
          <w:rFonts w:ascii="Times New Roman" w:eastAsia="宋体" w:hAnsi="Times New Roman" w:cs="Times New Roman" w:hint="eastAsia"/>
          <w:sz w:val="24"/>
          <w:szCs w:val="24"/>
        </w:rPr>
        <w:t>GB/T 15109-2021</w:t>
      </w:r>
      <w:r>
        <w:rPr>
          <w:rFonts w:ascii="Times New Roman" w:eastAsia="宋体" w:hAnsi="Times New Roman" w:cs="Times New Roman" w:hint="eastAsia"/>
          <w:sz w:val="24"/>
          <w:szCs w:val="24"/>
        </w:rPr>
        <w:t>）两个基础标准明确了董香型白酒业术语，所以本标准将采用统一的标准用语，以规范此项内容。</w:t>
      </w:r>
    </w:p>
    <w:p w14:paraId="531075B7" w14:textId="77777777" w:rsidR="00B11C6C" w:rsidRDefault="00000000">
      <w:pPr>
        <w:spacing w:line="480" w:lineRule="auto"/>
        <w:rPr>
          <w:rFonts w:ascii="宋体" w:eastAsia="宋体" w:hAnsi="宋体" w:cs="Times New Roman"/>
          <w:b/>
          <w:bCs/>
          <w:sz w:val="24"/>
          <w:szCs w:val="24"/>
        </w:rPr>
      </w:pPr>
      <w:r>
        <w:rPr>
          <w:rFonts w:ascii="宋体" w:eastAsia="宋体" w:hAnsi="宋体" w:cs="Times New Roman"/>
          <w:b/>
          <w:bCs/>
          <w:sz w:val="24"/>
          <w:szCs w:val="24"/>
        </w:rPr>
        <w:t>d</w:t>
      </w:r>
      <w:r>
        <w:rPr>
          <w:rFonts w:ascii="宋体" w:eastAsia="宋体" w:hAnsi="宋体" w:cs="Times New Roman" w:hint="eastAsia"/>
          <w:b/>
          <w:bCs/>
          <w:sz w:val="24"/>
          <w:szCs w:val="24"/>
        </w:rPr>
        <w:t>）要求</w:t>
      </w:r>
    </w:p>
    <w:p w14:paraId="3980CEE3" w14:textId="77777777" w:rsidR="00B11C6C" w:rsidRDefault="00000000">
      <w:pPr>
        <w:spacing w:line="480" w:lineRule="auto"/>
        <w:rPr>
          <w:rFonts w:ascii="宋体" w:eastAsia="宋体" w:hAnsi="宋体" w:cs="宋体"/>
          <w:b/>
          <w:bCs/>
          <w:sz w:val="24"/>
          <w:szCs w:val="24"/>
        </w:rPr>
      </w:pPr>
      <w:r>
        <w:rPr>
          <w:rFonts w:ascii="宋体" w:eastAsia="宋体" w:hAnsi="宋体" w:cs="宋体" w:hint="eastAsia"/>
          <w:b/>
          <w:bCs/>
          <w:sz w:val="24"/>
          <w:szCs w:val="24"/>
        </w:rPr>
        <w:t>① 生产过程要求</w:t>
      </w:r>
    </w:p>
    <w:p w14:paraId="1D8DB967"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生产过程要求根据董香型白酒生产工艺，从原辅料、制曲、酒</w:t>
      </w:r>
      <w:proofErr w:type="gramStart"/>
      <w:r>
        <w:rPr>
          <w:rFonts w:ascii="Times New Roman" w:eastAsia="宋体" w:hAnsi="Times New Roman" w:cs="Times New Roman" w:hint="eastAsia"/>
          <w:sz w:val="24"/>
          <w:szCs w:val="24"/>
        </w:rPr>
        <w:t>醅</w:t>
      </w:r>
      <w:proofErr w:type="gramEnd"/>
      <w:r>
        <w:rPr>
          <w:rFonts w:ascii="Times New Roman" w:eastAsia="宋体" w:hAnsi="Times New Roman" w:cs="Times New Roman" w:hint="eastAsia"/>
          <w:sz w:val="24"/>
          <w:szCs w:val="24"/>
        </w:rPr>
        <w:t>发酵、香</w:t>
      </w:r>
      <w:proofErr w:type="gramStart"/>
      <w:r>
        <w:rPr>
          <w:rFonts w:ascii="Times New Roman" w:eastAsia="宋体" w:hAnsi="Times New Roman" w:cs="Times New Roman" w:hint="eastAsia"/>
          <w:sz w:val="24"/>
          <w:szCs w:val="24"/>
        </w:rPr>
        <w:t>醅</w:t>
      </w:r>
      <w:proofErr w:type="gramEnd"/>
      <w:r>
        <w:rPr>
          <w:rFonts w:ascii="Times New Roman" w:eastAsia="宋体" w:hAnsi="Times New Roman" w:cs="Times New Roman" w:hint="eastAsia"/>
          <w:sz w:val="24"/>
          <w:szCs w:val="24"/>
        </w:rPr>
        <w:lastRenderedPageBreak/>
        <w:t>发酵、蒸馏、基酒贮存、</w:t>
      </w:r>
      <w:proofErr w:type="gramStart"/>
      <w:r>
        <w:rPr>
          <w:rFonts w:ascii="Times New Roman" w:eastAsia="宋体" w:hAnsi="Times New Roman" w:cs="Times New Roman" w:hint="eastAsia"/>
          <w:sz w:val="24"/>
          <w:szCs w:val="24"/>
        </w:rPr>
        <w:t>勾调等</w:t>
      </w:r>
      <w:proofErr w:type="gramEnd"/>
      <w:r>
        <w:rPr>
          <w:rFonts w:ascii="Times New Roman" w:eastAsia="宋体" w:hAnsi="Times New Roman" w:cs="Times New Roman" w:hint="eastAsia"/>
          <w:sz w:val="24"/>
          <w:szCs w:val="24"/>
        </w:rPr>
        <w:t>要求进行界定；</w:t>
      </w:r>
    </w:p>
    <w:p w14:paraId="610E5D36" w14:textId="77777777" w:rsidR="00B11C6C" w:rsidRDefault="00000000">
      <w:pPr>
        <w:spacing w:line="480" w:lineRule="auto"/>
        <w:rPr>
          <w:rFonts w:ascii="Times New Roman" w:eastAsia="宋体" w:hAnsi="Times New Roman" w:cs="Times New Roman"/>
          <w:b/>
          <w:bCs/>
          <w:sz w:val="24"/>
          <w:szCs w:val="24"/>
        </w:rPr>
      </w:pPr>
      <w:r>
        <w:rPr>
          <w:rFonts w:ascii="宋体" w:eastAsia="宋体" w:hAnsi="宋体" w:cs="宋体" w:hint="eastAsia"/>
          <w:b/>
          <w:bCs/>
          <w:sz w:val="24"/>
          <w:szCs w:val="24"/>
        </w:rPr>
        <w:t xml:space="preserve">② </w:t>
      </w:r>
      <w:r>
        <w:rPr>
          <w:rFonts w:ascii="Times New Roman" w:eastAsia="宋体" w:hAnsi="Times New Roman" w:cs="Times New Roman" w:hint="eastAsia"/>
          <w:b/>
          <w:bCs/>
          <w:sz w:val="24"/>
          <w:szCs w:val="24"/>
        </w:rPr>
        <w:t>感官要求</w:t>
      </w:r>
    </w:p>
    <w:p w14:paraId="7F1AD4A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感官特征参考</w:t>
      </w:r>
      <w:r>
        <w:rPr>
          <w:rFonts w:ascii="Times New Roman" w:eastAsia="宋体" w:hAnsi="Times New Roman" w:cs="Times New Roman" w:hint="eastAsia"/>
          <w:sz w:val="24"/>
          <w:szCs w:val="24"/>
        </w:rPr>
        <w:t>GB/T33404</w:t>
      </w:r>
      <w:r>
        <w:rPr>
          <w:rFonts w:ascii="Times New Roman" w:eastAsia="宋体" w:hAnsi="Times New Roman" w:cs="Times New Roman" w:hint="eastAsia"/>
          <w:sz w:val="24"/>
          <w:szCs w:val="24"/>
        </w:rPr>
        <w:t>《白酒感官品评导则》中界定的颜色、香气、口感、及风格的描述进行界定，增加</w:t>
      </w:r>
      <w:r>
        <w:rPr>
          <w:rFonts w:ascii="Times New Roman" w:eastAsia="宋体" w:hAnsi="Times New Roman" w:cs="Times New Roman" w:hint="eastAsia"/>
          <w:sz w:val="24"/>
          <w:szCs w:val="24"/>
        </w:rPr>
        <w:t>GB/T 20822</w:t>
      </w:r>
      <w:r>
        <w:rPr>
          <w:rFonts w:ascii="Times New Roman" w:eastAsia="宋体" w:hAnsi="Times New Roman" w:cs="Times New Roman" w:hint="eastAsia"/>
          <w:sz w:val="24"/>
          <w:szCs w:val="24"/>
        </w:rPr>
        <w:t>《固液法白酒》对于外观“无沉淀”的补充，“当酒的温度低于</w:t>
      </w:r>
      <w:r>
        <w:rPr>
          <w:rFonts w:ascii="Times New Roman" w:eastAsia="宋体" w:hAnsi="Times New Roman" w:cs="Times New Roman" w:hint="eastAsia"/>
          <w:sz w:val="24"/>
          <w:szCs w:val="24"/>
        </w:rPr>
        <w:t>10</w:t>
      </w:r>
      <w:r>
        <w:rPr>
          <w:rFonts w:ascii="Times New Roman" w:eastAsia="宋体" w:hAnsi="Times New Roman" w:cs="Times New Roman" w:hint="eastAsia"/>
          <w:sz w:val="24"/>
          <w:szCs w:val="24"/>
        </w:rPr>
        <w:t>℃时，允许出现白色絮状沉淀物或失光。</w:t>
      </w:r>
      <w:r>
        <w:rPr>
          <w:rFonts w:ascii="Times New Roman" w:eastAsia="宋体" w:hAnsi="Times New Roman" w:cs="Times New Roman" w:hint="eastAsia"/>
          <w:sz w:val="24"/>
          <w:szCs w:val="24"/>
        </w:rPr>
        <w:t>10</w:t>
      </w:r>
      <w:r>
        <w:rPr>
          <w:rFonts w:ascii="Times New Roman" w:eastAsia="宋体" w:hAnsi="Times New Roman" w:cs="Times New Roman" w:hint="eastAsia"/>
          <w:sz w:val="24"/>
          <w:szCs w:val="24"/>
        </w:rPr>
        <w:t>℃以上时应逐渐恢复正常”，保障了董香型白酒产品外观符合均符合感官要求。</w:t>
      </w:r>
    </w:p>
    <w:p w14:paraId="435DFEE9" w14:textId="77777777" w:rsidR="00B11C6C" w:rsidRDefault="00000000">
      <w:pPr>
        <w:pStyle w:val="af"/>
        <w:tabs>
          <w:tab w:val="left" w:pos="360"/>
        </w:tabs>
        <w:spacing w:before="156" w:after="156"/>
        <w:ind w:left="0"/>
        <w:rPr>
          <w:rFonts w:ascii="Times New Roman" w:eastAsia="宋体"/>
          <w:sz w:val="24"/>
          <w:szCs w:val="24"/>
        </w:rPr>
      </w:pPr>
      <w:r>
        <w:rPr>
          <w:rFonts w:hint="eastAsia"/>
        </w:rPr>
        <w:t>感官要求</w:t>
      </w:r>
    </w:p>
    <w:tbl>
      <w:tblPr>
        <w:tblStyle w:val="ac"/>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3700"/>
        <w:gridCol w:w="3972"/>
      </w:tblGrid>
      <w:tr w:rsidR="00B11C6C" w14:paraId="165DF894" w14:textId="77777777" w:rsidTr="0051446F">
        <w:trPr>
          <w:trHeight w:val="515"/>
          <w:jc w:val="center"/>
        </w:trPr>
        <w:tc>
          <w:tcPr>
            <w:tcW w:w="1402" w:type="dxa"/>
            <w:vAlign w:val="center"/>
          </w:tcPr>
          <w:p w14:paraId="08091979" w14:textId="77777777" w:rsidR="00B11C6C" w:rsidRDefault="00000000">
            <w:pPr>
              <w:jc w:val="center"/>
              <w:rPr>
                <w:rFonts w:ascii="宋体"/>
                <w:szCs w:val="21"/>
              </w:rPr>
            </w:pPr>
            <w:bookmarkStart w:id="4" w:name="_Hlk141275049"/>
            <w:r>
              <w:rPr>
                <w:rFonts w:ascii="宋体"/>
                <w:szCs w:val="21"/>
              </w:rPr>
              <w:t>项目</w:t>
            </w:r>
          </w:p>
        </w:tc>
        <w:tc>
          <w:tcPr>
            <w:tcW w:w="3709" w:type="dxa"/>
            <w:vAlign w:val="center"/>
          </w:tcPr>
          <w:p w14:paraId="6022EEDA" w14:textId="77777777" w:rsidR="00B11C6C" w:rsidRDefault="00000000">
            <w:pPr>
              <w:jc w:val="center"/>
              <w:rPr>
                <w:rFonts w:ascii="宋体"/>
                <w:szCs w:val="21"/>
              </w:rPr>
            </w:pPr>
            <w:r>
              <w:rPr>
                <w:rFonts w:ascii="宋体"/>
                <w:szCs w:val="21"/>
              </w:rPr>
              <w:t>优级</w:t>
            </w:r>
          </w:p>
        </w:tc>
        <w:tc>
          <w:tcPr>
            <w:tcW w:w="3982" w:type="dxa"/>
            <w:vAlign w:val="center"/>
          </w:tcPr>
          <w:p w14:paraId="37320E5E" w14:textId="77777777" w:rsidR="00B11C6C" w:rsidRDefault="00000000">
            <w:pPr>
              <w:jc w:val="center"/>
              <w:rPr>
                <w:rFonts w:ascii="宋体"/>
                <w:szCs w:val="21"/>
              </w:rPr>
            </w:pPr>
            <w:r>
              <w:rPr>
                <w:rFonts w:ascii="宋体"/>
                <w:szCs w:val="21"/>
              </w:rPr>
              <w:t>一级</w:t>
            </w:r>
          </w:p>
        </w:tc>
      </w:tr>
      <w:bookmarkEnd w:id="4"/>
      <w:tr w:rsidR="00B11C6C" w14:paraId="37DBED3F" w14:textId="77777777" w:rsidTr="0051446F">
        <w:trPr>
          <w:trHeight w:val="567"/>
          <w:jc w:val="center"/>
        </w:trPr>
        <w:tc>
          <w:tcPr>
            <w:tcW w:w="1402" w:type="dxa"/>
            <w:vAlign w:val="center"/>
          </w:tcPr>
          <w:p w14:paraId="2E1603BC" w14:textId="77777777" w:rsidR="00B11C6C" w:rsidRDefault="00000000">
            <w:pPr>
              <w:jc w:val="center"/>
              <w:rPr>
                <w:rFonts w:ascii="宋体"/>
                <w:szCs w:val="21"/>
              </w:rPr>
            </w:pPr>
            <w:r>
              <w:rPr>
                <w:rFonts w:ascii="宋体"/>
                <w:szCs w:val="21"/>
              </w:rPr>
              <w:t>色泽</w:t>
            </w:r>
          </w:p>
        </w:tc>
        <w:tc>
          <w:tcPr>
            <w:tcW w:w="7691" w:type="dxa"/>
            <w:gridSpan w:val="2"/>
            <w:vAlign w:val="center"/>
          </w:tcPr>
          <w:p w14:paraId="1D99FF18" w14:textId="77777777" w:rsidR="00B11C6C" w:rsidRDefault="00000000">
            <w:pPr>
              <w:jc w:val="center"/>
              <w:rPr>
                <w:rFonts w:ascii="宋体"/>
                <w:szCs w:val="21"/>
              </w:rPr>
            </w:pPr>
            <w:r>
              <w:rPr>
                <w:rFonts w:ascii="宋体"/>
                <w:szCs w:val="21"/>
              </w:rPr>
              <w:t>清澈（或微黄）透明，无悬浮物，无沉淀，无杂质</w:t>
            </w:r>
            <w:r>
              <w:rPr>
                <w:rFonts w:ascii="宋体"/>
                <w:szCs w:val="21"/>
                <w:vertAlign w:val="superscript"/>
              </w:rPr>
              <w:t>a</w:t>
            </w:r>
          </w:p>
        </w:tc>
      </w:tr>
      <w:tr w:rsidR="00B11C6C" w14:paraId="3B09D4ED" w14:textId="77777777" w:rsidTr="0051446F">
        <w:trPr>
          <w:trHeight w:val="1375"/>
          <w:jc w:val="center"/>
        </w:trPr>
        <w:tc>
          <w:tcPr>
            <w:tcW w:w="1402" w:type="dxa"/>
            <w:vAlign w:val="center"/>
          </w:tcPr>
          <w:p w14:paraId="0B296634" w14:textId="77777777" w:rsidR="00B11C6C" w:rsidRDefault="00000000">
            <w:pPr>
              <w:jc w:val="center"/>
              <w:rPr>
                <w:rFonts w:ascii="宋体"/>
                <w:szCs w:val="21"/>
              </w:rPr>
            </w:pPr>
            <w:r>
              <w:rPr>
                <w:rFonts w:ascii="宋体"/>
                <w:szCs w:val="21"/>
              </w:rPr>
              <w:t>香气</w:t>
            </w:r>
          </w:p>
        </w:tc>
        <w:tc>
          <w:tcPr>
            <w:tcW w:w="3709" w:type="dxa"/>
            <w:vAlign w:val="center"/>
          </w:tcPr>
          <w:p w14:paraId="4E4283F9" w14:textId="77777777" w:rsidR="00B11C6C" w:rsidRDefault="00000000">
            <w:pPr>
              <w:jc w:val="left"/>
              <w:rPr>
                <w:rFonts w:ascii="宋体"/>
                <w:szCs w:val="21"/>
              </w:rPr>
            </w:pPr>
            <w:r>
              <w:rPr>
                <w:rFonts w:ascii="宋体"/>
                <w:szCs w:val="21"/>
              </w:rPr>
              <w:t>自然发酵产生的曲香、粮香、本草香、果香等复合香气突出，幽雅舒适；陈香、酯香、窖香等多种香气平衡谐调，舒适怡人</w:t>
            </w:r>
          </w:p>
        </w:tc>
        <w:tc>
          <w:tcPr>
            <w:tcW w:w="3982" w:type="dxa"/>
            <w:vAlign w:val="center"/>
          </w:tcPr>
          <w:p w14:paraId="68CDD24D" w14:textId="77777777" w:rsidR="00B11C6C" w:rsidRDefault="00000000">
            <w:pPr>
              <w:jc w:val="left"/>
              <w:rPr>
                <w:rFonts w:ascii="宋体"/>
                <w:szCs w:val="21"/>
              </w:rPr>
            </w:pPr>
            <w:r>
              <w:rPr>
                <w:rFonts w:ascii="宋体"/>
                <w:szCs w:val="21"/>
              </w:rPr>
              <w:t>自然发酵产生的曲香、粮香、</w:t>
            </w:r>
            <w:proofErr w:type="gramStart"/>
            <w:r>
              <w:rPr>
                <w:rFonts w:ascii="宋体"/>
                <w:szCs w:val="21"/>
              </w:rPr>
              <w:t>本草香</w:t>
            </w:r>
            <w:proofErr w:type="gramEnd"/>
            <w:r>
              <w:rPr>
                <w:rFonts w:ascii="宋体"/>
                <w:szCs w:val="21"/>
              </w:rPr>
              <w:t>等复合香气明显，清雅谐调；酯香、窖香等多种香气谐调，舒适</w:t>
            </w:r>
          </w:p>
        </w:tc>
      </w:tr>
      <w:tr w:rsidR="00B11C6C" w14:paraId="5E212334" w14:textId="77777777" w:rsidTr="0051446F">
        <w:trPr>
          <w:trHeight w:val="828"/>
          <w:jc w:val="center"/>
        </w:trPr>
        <w:tc>
          <w:tcPr>
            <w:tcW w:w="1402" w:type="dxa"/>
            <w:vAlign w:val="center"/>
          </w:tcPr>
          <w:p w14:paraId="033A52BB" w14:textId="77777777" w:rsidR="00B11C6C" w:rsidRDefault="00000000">
            <w:pPr>
              <w:jc w:val="center"/>
              <w:rPr>
                <w:rFonts w:ascii="宋体"/>
                <w:szCs w:val="21"/>
              </w:rPr>
            </w:pPr>
            <w:r>
              <w:rPr>
                <w:rFonts w:ascii="宋体"/>
                <w:szCs w:val="21"/>
              </w:rPr>
              <w:t>口味</w:t>
            </w:r>
          </w:p>
        </w:tc>
        <w:tc>
          <w:tcPr>
            <w:tcW w:w="3709" w:type="dxa"/>
            <w:vAlign w:val="center"/>
          </w:tcPr>
          <w:p w14:paraId="6F84801C" w14:textId="77777777" w:rsidR="00B11C6C" w:rsidRDefault="00000000">
            <w:pPr>
              <w:jc w:val="left"/>
              <w:rPr>
                <w:rFonts w:ascii="宋体"/>
                <w:szCs w:val="21"/>
              </w:rPr>
            </w:pPr>
            <w:r>
              <w:rPr>
                <w:rFonts w:ascii="宋体"/>
                <w:szCs w:val="21"/>
              </w:rPr>
              <w:t>入口酒体醇厚，丰满谐调，本草味雅致，回甘爽净，余味悠长</w:t>
            </w:r>
          </w:p>
        </w:tc>
        <w:tc>
          <w:tcPr>
            <w:tcW w:w="3982" w:type="dxa"/>
            <w:vAlign w:val="center"/>
          </w:tcPr>
          <w:p w14:paraId="4933AA82" w14:textId="77777777" w:rsidR="00B11C6C" w:rsidRDefault="00000000">
            <w:pPr>
              <w:jc w:val="left"/>
              <w:rPr>
                <w:rFonts w:ascii="宋体"/>
                <w:szCs w:val="21"/>
              </w:rPr>
            </w:pPr>
            <w:r>
              <w:rPr>
                <w:rFonts w:ascii="宋体"/>
                <w:szCs w:val="21"/>
              </w:rPr>
              <w:t>入口酒体醇和，诸味谐调，本草味愉悦，绵甜柔顺，</w:t>
            </w:r>
            <w:proofErr w:type="gramStart"/>
            <w:r>
              <w:rPr>
                <w:rFonts w:ascii="宋体"/>
                <w:szCs w:val="21"/>
              </w:rPr>
              <w:t>尾净味</w:t>
            </w:r>
            <w:proofErr w:type="gramEnd"/>
            <w:r>
              <w:rPr>
                <w:rFonts w:ascii="宋体"/>
                <w:szCs w:val="21"/>
              </w:rPr>
              <w:t>长</w:t>
            </w:r>
          </w:p>
        </w:tc>
      </w:tr>
      <w:tr w:rsidR="00B11C6C" w14:paraId="7E084480" w14:textId="77777777" w:rsidTr="0051446F">
        <w:trPr>
          <w:trHeight w:val="533"/>
          <w:jc w:val="center"/>
        </w:trPr>
        <w:tc>
          <w:tcPr>
            <w:tcW w:w="1402" w:type="dxa"/>
            <w:vAlign w:val="center"/>
          </w:tcPr>
          <w:p w14:paraId="385063E6" w14:textId="77777777" w:rsidR="00B11C6C" w:rsidRDefault="00000000">
            <w:pPr>
              <w:jc w:val="center"/>
              <w:rPr>
                <w:rFonts w:ascii="宋体"/>
                <w:szCs w:val="21"/>
              </w:rPr>
            </w:pPr>
            <w:r>
              <w:rPr>
                <w:rFonts w:ascii="宋体"/>
                <w:szCs w:val="21"/>
              </w:rPr>
              <w:t>风格</w:t>
            </w:r>
          </w:p>
        </w:tc>
        <w:tc>
          <w:tcPr>
            <w:tcW w:w="3709" w:type="dxa"/>
            <w:vAlign w:val="center"/>
          </w:tcPr>
          <w:p w14:paraId="7F153881" w14:textId="77777777" w:rsidR="00B11C6C" w:rsidRDefault="00000000">
            <w:pPr>
              <w:jc w:val="left"/>
              <w:rPr>
                <w:rFonts w:ascii="宋体"/>
                <w:szCs w:val="21"/>
              </w:rPr>
            </w:pPr>
            <w:r>
              <w:rPr>
                <w:rFonts w:ascii="宋体"/>
                <w:szCs w:val="21"/>
              </w:rPr>
              <w:t>具有</w:t>
            </w:r>
            <w:proofErr w:type="gramStart"/>
            <w:r>
              <w:rPr>
                <w:rFonts w:ascii="宋体"/>
                <w:szCs w:val="21"/>
              </w:rPr>
              <w:t>典型董</w:t>
            </w:r>
            <w:proofErr w:type="gramEnd"/>
            <w:r>
              <w:rPr>
                <w:rFonts w:ascii="宋体"/>
                <w:szCs w:val="21"/>
              </w:rPr>
              <w:t xml:space="preserve">香型白酒风格  </w:t>
            </w:r>
          </w:p>
        </w:tc>
        <w:tc>
          <w:tcPr>
            <w:tcW w:w="3982" w:type="dxa"/>
            <w:vAlign w:val="center"/>
          </w:tcPr>
          <w:p w14:paraId="6C25B7C7" w14:textId="77777777" w:rsidR="00B11C6C" w:rsidRDefault="00000000">
            <w:pPr>
              <w:jc w:val="left"/>
              <w:rPr>
                <w:rFonts w:ascii="宋体"/>
                <w:szCs w:val="21"/>
              </w:rPr>
            </w:pPr>
            <w:r>
              <w:rPr>
                <w:rFonts w:ascii="宋体"/>
                <w:szCs w:val="21"/>
              </w:rPr>
              <w:t>具有明显董香型白酒风格</w:t>
            </w:r>
          </w:p>
        </w:tc>
      </w:tr>
      <w:tr w:rsidR="00B11C6C" w14:paraId="075265A9" w14:textId="77777777" w:rsidTr="0051446F">
        <w:trPr>
          <w:trHeight w:val="521"/>
          <w:jc w:val="center"/>
        </w:trPr>
        <w:tc>
          <w:tcPr>
            <w:tcW w:w="9093" w:type="dxa"/>
            <w:gridSpan w:val="3"/>
            <w:vAlign w:val="center"/>
          </w:tcPr>
          <w:p w14:paraId="1E38E268" w14:textId="77777777" w:rsidR="00B11C6C" w:rsidRDefault="00000000">
            <w:pPr>
              <w:rPr>
                <w:rFonts w:ascii="宋体"/>
                <w:szCs w:val="21"/>
              </w:rPr>
            </w:pPr>
            <w:r>
              <w:rPr>
                <w:rFonts w:ascii="宋体" w:hint="eastAsia"/>
                <w:szCs w:val="21"/>
                <w:vertAlign w:val="superscript"/>
              </w:rPr>
              <w:t>a</w:t>
            </w:r>
            <w:r>
              <w:rPr>
                <w:rFonts w:ascii="宋体" w:hint="eastAsia"/>
                <w:szCs w:val="21"/>
              </w:rPr>
              <w:t>：</w:t>
            </w:r>
            <w:r>
              <w:rPr>
                <w:rFonts w:ascii="宋体"/>
                <w:szCs w:val="21"/>
              </w:rPr>
              <w:t xml:space="preserve">当酒的温度低于10 </w:t>
            </w:r>
            <w:r>
              <w:rPr>
                <w:rFonts w:ascii="宋体"/>
                <w:szCs w:val="21"/>
              </w:rPr>
              <w:t>℃</w:t>
            </w:r>
            <w:r>
              <w:rPr>
                <w:rFonts w:ascii="宋体"/>
                <w:szCs w:val="21"/>
              </w:rPr>
              <w:t xml:space="preserve">时，允许有沉淀物质或失光，10 </w:t>
            </w:r>
            <w:r>
              <w:rPr>
                <w:rFonts w:ascii="宋体"/>
                <w:szCs w:val="21"/>
              </w:rPr>
              <w:t>℃</w:t>
            </w:r>
            <w:r>
              <w:rPr>
                <w:rFonts w:ascii="宋体"/>
                <w:szCs w:val="21"/>
              </w:rPr>
              <w:t>以上时，应逐渐恢复正常。</w:t>
            </w:r>
          </w:p>
        </w:tc>
      </w:tr>
    </w:tbl>
    <w:p w14:paraId="7F12A882" w14:textId="77777777" w:rsidR="00B11C6C" w:rsidRDefault="00000000">
      <w:pPr>
        <w:spacing w:line="480" w:lineRule="auto"/>
        <w:ind w:firstLineChars="200" w:firstLine="482"/>
        <w:rPr>
          <w:rFonts w:ascii="Times New Roman" w:eastAsia="宋体" w:hAnsi="Times New Roman" w:cs="Times New Roman"/>
          <w:sz w:val="24"/>
          <w:szCs w:val="24"/>
        </w:rPr>
      </w:pPr>
      <w:r>
        <w:rPr>
          <w:rFonts w:ascii="宋体" w:eastAsia="宋体" w:hAnsi="宋体" w:cs="宋体" w:hint="eastAsia"/>
          <w:b/>
          <w:bCs/>
          <w:sz w:val="24"/>
          <w:szCs w:val="24"/>
        </w:rPr>
        <w:t>③</w:t>
      </w:r>
      <w:r>
        <w:rPr>
          <w:rFonts w:ascii="Times New Roman" w:eastAsia="宋体" w:hAnsi="Times New Roman" w:cs="Times New Roman" w:hint="eastAsia"/>
          <w:b/>
          <w:bCs/>
          <w:sz w:val="24"/>
          <w:szCs w:val="24"/>
        </w:rPr>
        <w:t>理化要求</w:t>
      </w:r>
    </w:p>
    <w:p w14:paraId="09D77233" w14:textId="77777777" w:rsidR="00B11C6C" w:rsidRDefault="00000000">
      <w:pPr>
        <w:spacing w:line="48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理化要求规定如表</w:t>
      </w:r>
      <w:r>
        <w:rPr>
          <w:rFonts w:ascii="Times New Roman" w:eastAsia="宋体" w:hAnsi="Times New Roman" w:cs="Times New Roman" w:hint="eastAsia"/>
          <w:bCs/>
          <w:sz w:val="24"/>
          <w:szCs w:val="24"/>
        </w:rPr>
        <w:t>2</w:t>
      </w:r>
      <w:r>
        <w:rPr>
          <w:rFonts w:ascii="Times New Roman" w:eastAsia="宋体" w:hAnsi="Times New Roman" w:cs="Times New Roman" w:hint="eastAsia"/>
          <w:bCs/>
          <w:sz w:val="24"/>
          <w:szCs w:val="24"/>
        </w:rPr>
        <w:t>所示，</w:t>
      </w:r>
    </w:p>
    <w:p w14:paraId="2944C274" w14:textId="77777777" w:rsidR="00B11C6C" w:rsidRDefault="00000000">
      <w:pPr>
        <w:pStyle w:val="a0"/>
        <w:numPr>
          <w:ilvl w:val="0"/>
          <w:numId w:val="0"/>
        </w:numPr>
        <w:spacing w:before="156" w:after="156"/>
      </w:pPr>
      <w:r>
        <w:rPr>
          <w:rFonts w:hint="eastAsia"/>
        </w:rPr>
        <w:t>表2 理化指标</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5"/>
        <w:gridCol w:w="2970"/>
        <w:gridCol w:w="44"/>
        <w:gridCol w:w="3233"/>
      </w:tblGrid>
      <w:tr w:rsidR="00B11C6C" w:rsidRPr="0051446F" w14:paraId="7BEA24BA" w14:textId="77777777" w:rsidTr="0051446F">
        <w:trPr>
          <w:trHeight w:val="461"/>
          <w:jc w:val="center"/>
        </w:trPr>
        <w:tc>
          <w:tcPr>
            <w:tcW w:w="2833" w:type="dxa"/>
            <w:tcBorders>
              <w:top w:val="single" w:sz="4" w:space="0" w:color="auto"/>
              <w:left w:val="single" w:sz="4" w:space="0" w:color="auto"/>
              <w:right w:val="single" w:sz="4" w:space="0" w:color="auto"/>
            </w:tcBorders>
            <w:vAlign w:val="center"/>
          </w:tcPr>
          <w:p w14:paraId="4DE4B142" w14:textId="77777777" w:rsidR="00B11C6C" w:rsidRPr="0051446F" w:rsidRDefault="00000000">
            <w:pPr>
              <w:spacing w:before="100" w:beforeAutospacing="1" w:line="360" w:lineRule="exact"/>
              <w:jc w:val="center"/>
              <w:rPr>
                <w:rFonts w:ascii="Times New Roman" w:hAnsi="Times New Roman" w:cs="Times New Roman"/>
                <w:szCs w:val="21"/>
              </w:rPr>
            </w:pPr>
            <w:r w:rsidRPr="0051446F">
              <w:rPr>
                <w:rFonts w:ascii="Times New Roman" w:hAnsi="Times New Roman" w:cs="Times New Roman"/>
                <w:szCs w:val="21"/>
              </w:rPr>
              <w:t>项</w:t>
            </w:r>
            <w:r w:rsidRPr="0051446F">
              <w:rPr>
                <w:rFonts w:ascii="Times New Roman" w:hAnsi="Times New Roman" w:cs="Times New Roman"/>
                <w:szCs w:val="21"/>
              </w:rPr>
              <w:t xml:space="preserve">  </w:t>
            </w:r>
            <w:r w:rsidRPr="0051446F">
              <w:rPr>
                <w:rFonts w:ascii="Times New Roman" w:hAnsi="Times New Roman" w:cs="Times New Roman"/>
                <w:szCs w:val="21"/>
              </w:rPr>
              <w:t>目</w:t>
            </w:r>
          </w:p>
        </w:tc>
        <w:tc>
          <w:tcPr>
            <w:tcW w:w="2979" w:type="dxa"/>
            <w:tcBorders>
              <w:top w:val="single" w:sz="4" w:space="0" w:color="auto"/>
              <w:left w:val="nil"/>
              <w:bottom w:val="single" w:sz="4" w:space="0" w:color="auto"/>
              <w:right w:val="single" w:sz="4" w:space="0" w:color="auto"/>
            </w:tcBorders>
            <w:vAlign w:val="center"/>
          </w:tcPr>
          <w:p w14:paraId="59711800" w14:textId="77777777" w:rsidR="00B11C6C" w:rsidRPr="0051446F" w:rsidRDefault="00000000">
            <w:pPr>
              <w:spacing w:before="100" w:beforeAutospacing="1" w:line="360" w:lineRule="exact"/>
              <w:jc w:val="center"/>
              <w:rPr>
                <w:rFonts w:ascii="Times New Roman" w:hAnsi="Times New Roman" w:cs="Times New Roman"/>
                <w:szCs w:val="21"/>
              </w:rPr>
            </w:pPr>
            <w:r w:rsidRPr="0051446F">
              <w:rPr>
                <w:rFonts w:ascii="Times New Roman" w:hAnsi="Times New Roman" w:cs="Times New Roman"/>
                <w:szCs w:val="21"/>
              </w:rPr>
              <w:t>优级</w:t>
            </w:r>
          </w:p>
        </w:tc>
        <w:tc>
          <w:tcPr>
            <w:tcW w:w="3286" w:type="dxa"/>
            <w:gridSpan w:val="2"/>
            <w:tcBorders>
              <w:top w:val="single" w:sz="4" w:space="0" w:color="auto"/>
              <w:left w:val="nil"/>
              <w:bottom w:val="single" w:sz="4" w:space="0" w:color="auto"/>
              <w:right w:val="single" w:sz="4" w:space="0" w:color="auto"/>
            </w:tcBorders>
            <w:vAlign w:val="center"/>
          </w:tcPr>
          <w:p w14:paraId="62B2AED6" w14:textId="77777777" w:rsidR="00B11C6C" w:rsidRPr="0051446F" w:rsidRDefault="00000000">
            <w:pPr>
              <w:spacing w:before="100" w:beforeAutospacing="1" w:line="360" w:lineRule="exact"/>
              <w:jc w:val="center"/>
              <w:rPr>
                <w:rFonts w:ascii="Times New Roman" w:hAnsi="Times New Roman" w:cs="Times New Roman"/>
                <w:szCs w:val="21"/>
              </w:rPr>
            </w:pPr>
            <w:r w:rsidRPr="0051446F">
              <w:rPr>
                <w:rFonts w:ascii="Times New Roman" w:hAnsi="Times New Roman" w:cs="Times New Roman"/>
                <w:szCs w:val="21"/>
              </w:rPr>
              <w:t>一级</w:t>
            </w:r>
          </w:p>
        </w:tc>
      </w:tr>
      <w:tr w:rsidR="00B11C6C" w:rsidRPr="0051446F" w14:paraId="60507406" w14:textId="77777777" w:rsidTr="0051446F">
        <w:trPr>
          <w:trHeight w:val="567"/>
          <w:jc w:val="center"/>
        </w:trPr>
        <w:tc>
          <w:tcPr>
            <w:tcW w:w="2833" w:type="dxa"/>
            <w:tcBorders>
              <w:top w:val="single" w:sz="4" w:space="0" w:color="auto"/>
              <w:left w:val="single" w:sz="4" w:space="0" w:color="auto"/>
              <w:bottom w:val="single" w:sz="4" w:space="0" w:color="auto"/>
              <w:right w:val="single" w:sz="4" w:space="0" w:color="auto"/>
            </w:tcBorders>
            <w:vAlign w:val="center"/>
          </w:tcPr>
          <w:p w14:paraId="608FDD5E" w14:textId="77777777" w:rsidR="00B11C6C" w:rsidRPr="0051446F" w:rsidRDefault="00000000">
            <w:pPr>
              <w:spacing w:before="100" w:beforeAutospacing="1" w:line="268" w:lineRule="auto"/>
              <w:ind w:hanging="10"/>
              <w:jc w:val="left"/>
              <w:rPr>
                <w:rFonts w:ascii="Times New Roman" w:hAnsi="Times New Roman" w:cs="Times New Roman"/>
                <w:szCs w:val="21"/>
              </w:rPr>
            </w:pPr>
            <w:r w:rsidRPr="0051446F">
              <w:rPr>
                <w:rFonts w:ascii="Times New Roman" w:hAnsi="Times New Roman" w:cs="Times New Roman"/>
                <w:szCs w:val="21"/>
              </w:rPr>
              <w:t>酒精度</w:t>
            </w:r>
            <w:r w:rsidRPr="0051446F">
              <w:rPr>
                <w:rFonts w:ascii="Times New Roman" w:hAnsi="Times New Roman" w:cs="Times New Roman"/>
                <w:szCs w:val="21"/>
              </w:rPr>
              <w:t>/(%vol)</w:t>
            </w:r>
          </w:p>
        </w:tc>
        <w:tc>
          <w:tcPr>
            <w:tcW w:w="6265" w:type="dxa"/>
            <w:gridSpan w:val="3"/>
            <w:tcBorders>
              <w:top w:val="single" w:sz="4" w:space="0" w:color="auto"/>
              <w:left w:val="nil"/>
              <w:bottom w:val="single" w:sz="4" w:space="0" w:color="auto"/>
              <w:right w:val="single" w:sz="4" w:space="0" w:color="auto"/>
            </w:tcBorders>
            <w:vAlign w:val="center"/>
          </w:tcPr>
          <w:p w14:paraId="0A2C4B46"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hAnsi="Times New Roman" w:cs="Times New Roman"/>
                <w:szCs w:val="21"/>
              </w:rPr>
              <w:t>29.0%vol</w:t>
            </w:r>
            <w:r w:rsidRPr="0051446F">
              <w:rPr>
                <w:rFonts w:ascii="Times New Roman" w:eastAsiaTheme="majorEastAsia" w:hAnsi="Times New Roman" w:cs="Times New Roman"/>
                <w:szCs w:val="21"/>
              </w:rPr>
              <w:t>≤</w:t>
            </w:r>
            <w:r w:rsidRPr="0051446F">
              <w:rPr>
                <w:rFonts w:ascii="Times New Roman" w:eastAsiaTheme="majorEastAsia" w:hAnsi="Times New Roman" w:cs="Times New Roman"/>
                <w:szCs w:val="21"/>
              </w:rPr>
              <w:t>酒精度</w:t>
            </w:r>
            <w:r w:rsidRPr="0051446F">
              <w:rPr>
                <w:rFonts w:ascii="Times New Roman" w:eastAsiaTheme="majorEastAsia" w:hAnsi="Times New Roman" w:cs="Times New Roman"/>
                <w:szCs w:val="21"/>
              </w:rPr>
              <w:t>≤</w:t>
            </w:r>
            <w:r w:rsidRPr="0051446F">
              <w:rPr>
                <w:rFonts w:ascii="Times New Roman" w:hAnsi="Times New Roman" w:cs="Times New Roman"/>
                <w:szCs w:val="21"/>
              </w:rPr>
              <w:t>60.0%vol</w:t>
            </w:r>
          </w:p>
        </w:tc>
      </w:tr>
      <w:tr w:rsidR="00B11C6C" w:rsidRPr="0051446F" w14:paraId="60C9E648" w14:textId="77777777" w:rsidTr="0051446F">
        <w:trPr>
          <w:trHeight w:val="519"/>
          <w:jc w:val="center"/>
        </w:trPr>
        <w:tc>
          <w:tcPr>
            <w:tcW w:w="2833" w:type="dxa"/>
            <w:tcBorders>
              <w:top w:val="single" w:sz="4" w:space="0" w:color="auto"/>
              <w:left w:val="single" w:sz="4" w:space="0" w:color="auto"/>
              <w:bottom w:val="single" w:sz="4" w:space="0" w:color="auto"/>
              <w:right w:val="single" w:sz="4" w:space="0" w:color="auto"/>
            </w:tcBorders>
            <w:vAlign w:val="center"/>
          </w:tcPr>
          <w:p w14:paraId="098001D8" w14:textId="77777777" w:rsidR="00B11C6C" w:rsidRPr="0051446F" w:rsidRDefault="00000000">
            <w:pPr>
              <w:jc w:val="left"/>
              <w:rPr>
                <w:rFonts w:ascii="Times New Roman" w:hAnsi="Times New Roman" w:cs="Times New Roman"/>
                <w:kern w:val="0"/>
                <w:szCs w:val="21"/>
              </w:rPr>
            </w:pPr>
            <w:r w:rsidRPr="0051446F">
              <w:rPr>
                <w:rFonts w:ascii="Times New Roman" w:hAnsi="Times New Roman" w:cs="Times New Roman"/>
                <w:szCs w:val="21"/>
              </w:rPr>
              <w:t>总酸</w:t>
            </w:r>
            <w:r w:rsidRPr="0051446F">
              <w:rPr>
                <w:rFonts w:ascii="Times New Roman" w:hAnsi="Times New Roman" w:cs="Times New Roman"/>
                <w:szCs w:val="21"/>
                <w:vertAlign w:val="superscript"/>
              </w:rPr>
              <w:t>a</w:t>
            </w:r>
            <w:r w:rsidRPr="0051446F">
              <w:rPr>
                <w:rFonts w:ascii="Times New Roman" w:hAnsi="Times New Roman" w:cs="Times New Roman"/>
                <w:szCs w:val="21"/>
              </w:rPr>
              <w:t>/(g/L)</w:t>
            </w:r>
          </w:p>
        </w:tc>
        <w:tc>
          <w:tcPr>
            <w:tcW w:w="6265" w:type="dxa"/>
            <w:gridSpan w:val="3"/>
            <w:tcBorders>
              <w:top w:val="single" w:sz="4" w:space="0" w:color="auto"/>
              <w:left w:val="nil"/>
              <w:bottom w:val="single" w:sz="4" w:space="0" w:color="auto"/>
              <w:right w:val="single" w:sz="4" w:space="0" w:color="auto"/>
            </w:tcBorders>
            <w:vAlign w:val="center"/>
          </w:tcPr>
          <w:p w14:paraId="0ED37205"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eastAsiaTheme="majorEastAsia" w:hAnsi="Times New Roman" w:cs="Times New Roman"/>
                <w:szCs w:val="21"/>
              </w:rPr>
              <w:t>≥</w:t>
            </w:r>
            <w:r w:rsidRPr="0051446F">
              <w:rPr>
                <w:rFonts w:ascii="Times New Roman" w:hAnsi="Times New Roman" w:cs="Times New Roman"/>
                <w:szCs w:val="21"/>
              </w:rPr>
              <w:t>1.50</w:t>
            </w:r>
          </w:p>
        </w:tc>
      </w:tr>
      <w:tr w:rsidR="00B11C6C" w:rsidRPr="0051446F" w14:paraId="4F701A35" w14:textId="77777777" w:rsidTr="0051446F">
        <w:trPr>
          <w:trHeight w:val="602"/>
          <w:jc w:val="center"/>
        </w:trPr>
        <w:tc>
          <w:tcPr>
            <w:tcW w:w="2833" w:type="dxa"/>
            <w:tcBorders>
              <w:top w:val="single" w:sz="4" w:space="0" w:color="auto"/>
              <w:left w:val="single" w:sz="4" w:space="0" w:color="auto"/>
              <w:bottom w:val="single" w:sz="4" w:space="0" w:color="auto"/>
              <w:right w:val="single" w:sz="4" w:space="0" w:color="auto"/>
            </w:tcBorders>
            <w:vAlign w:val="center"/>
          </w:tcPr>
          <w:p w14:paraId="3C944866" w14:textId="77777777" w:rsidR="00B11C6C" w:rsidRPr="0051446F" w:rsidRDefault="00000000">
            <w:pPr>
              <w:pStyle w:val="a"/>
              <w:numPr>
                <w:ilvl w:val="0"/>
                <w:numId w:val="0"/>
              </w:numPr>
              <w:jc w:val="left"/>
              <w:rPr>
                <w:rFonts w:ascii="Times New Roman"/>
                <w:color w:val="000000"/>
                <w:szCs w:val="21"/>
              </w:rPr>
            </w:pPr>
            <w:r w:rsidRPr="0051446F">
              <w:rPr>
                <w:rFonts w:ascii="Times New Roman"/>
                <w:color w:val="000000"/>
                <w:szCs w:val="21"/>
              </w:rPr>
              <w:t>酸酯总量</w:t>
            </w:r>
            <w:r w:rsidRPr="0051446F">
              <w:rPr>
                <w:rFonts w:ascii="Times New Roman"/>
                <w:color w:val="000000"/>
                <w:szCs w:val="21"/>
                <w:vertAlign w:val="superscript"/>
              </w:rPr>
              <w:t>a</w:t>
            </w:r>
            <w:r w:rsidRPr="0051446F">
              <w:rPr>
                <w:rFonts w:ascii="Times New Roman"/>
                <w:color w:val="000000"/>
                <w:szCs w:val="21"/>
              </w:rPr>
              <w:t>/(mmol/L)</w:t>
            </w:r>
          </w:p>
        </w:tc>
        <w:tc>
          <w:tcPr>
            <w:tcW w:w="3023" w:type="dxa"/>
            <w:gridSpan w:val="2"/>
            <w:tcBorders>
              <w:top w:val="single" w:sz="4" w:space="0" w:color="auto"/>
              <w:left w:val="nil"/>
              <w:bottom w:val="single" w:sz="4" w:space="0" w:color="auto"/>
              <w:right w:val="single" w:sz="4" w:space="0" w:color="auto"/>
            </w:tcBorders>
            <w:vAlign w:val="center"/>
          </w:tcPr>
          <w:p w14:paraId="1FAA4EA4" w14:textId="77777777" w:rsidR="00B11C6C" w:rsidRPr="0051446F" w:rsidRDefault="00000000">
            <w:pPr>
              <w:pStyle w:val="a"/>
              <w:numPr>
                <w:ilvl w:val="0"/>
                <w:numId w:val="0"/>
              </w:numPr>
              <w:jc w:val="center"/>
              <w:rPr>
                <w:rFonts w:ascii="Times New Roman"/>
                <w:kern w:val="2"/>
                <w:szCs w:val="21"/>
              </w:rPr>
            </w:pPr>
            <w:r w:rsidRPr="0051446F">
              <w:rPr>
                <w:rFonts w:ascii="Times New Roman" w:eastAsiaTheme="majorEastAsia"/>
                <w:szCs w:val="21"/>
              </w:rPr>
              <w:t>≥</w:t>
            </w:r>
            <w:r w:rsidRPr="0051446F">
              <w:rPr>
                <w:rFonts w:ascii="Times New Roman"/>
                <w:kern w:val="2"/>
                <w:szCs w:val="21"/>
              </w:rPr>
              <w:t>40.00</w:t>
            </w:r>
          </w:p>
        </w:tc>
        <w:tc>
          <w:tcPr>
            <w:tcW w:w="3242" w:type="dxa"/>
            <w:tcBorders>
              <w:top w:val="single" w:sz="4" w:space="0" w:color="auto"/>
              <w:left w:val="nil"/>
              <w:bottom w:val="single" w:sz="4" w:space="0" w:color="auto"/>
              <w:right w:val="single" w:sz="4" w:space="0" w:color="auto"/>
            </w:tcBorders>
            <w:vAlign w:val="center"/>
          </w:tcPr>
          <w:p w14:paraId="6397BE65" w14:textId="77777777" w:rsidR="00B11C6C" w:rsidRPr="0051446F" w:rsidRDefault="00000000">
            <w:pPr>
              <w:pStyle w:val="a"/>
              <w:numPr>
                <w:ilvl w:val="0"/>
                <w:numId w:val="0"/>
              </w:numPr>
              <w:jc w:val="center"/>
              <w:rPr>
                <w:rFonts w:ascii="Times New Roman"/>
                <w:kern w:val="2"/>
                <w:szCs w:val="21"/>
              </w:rPr>
            </w:pPr>
            <w:r w:rsidRPr="0051446F">
              <w:rPr>
                <w:rFonts w:ascii="Times New Roman" w:eastAsiaTheme="majorEastAsia"/>
                <w:szCs w:val="21"/>
              </w:rPr>
              <w:t>≥</w:t>
            </w:r>
            <w:r w:rsidRPr="0051446F">
              <w:rPr>
                <w:rFonts w:ascii="Times New Roman"/>
                <w:kern w:val="2"/>
                <w:szCs w:val="21"/>
              </w:rPr>
              <w:t>35.00</w:t>
            </w:r>
          </w:p>
        </w:tc>
      </w:tr>
      <w:tr w:rsidR="00B11C6C" w:rsidRPr="0051446F" w14:paraId="0F54F056" w14:textId="77777777" w:rsidTr="0051446F">
        <w:trPr>
          <w:trHeight w:val="533"/>
          <w:jc w:val="center"/>
        </w:trPr>
        <w:tc>
          <w:tcPr>
            <w:tcW w:w="2833" w:type="dxa"/>
            <w:tcBorders>
              <w:top w:val="single" w:sz="4" w:space="0" w:color="auto"/>
              <w:left w:val="single" w:sz="4" w:space="0" w:color="auto"/>
              <w:bottom w:val="single" w:sz="4" w:space="0" w:color="auto"/>
              <w:right w:val="single" w:sz="4" w:space="0" w:color="auto"/>
            </w:tcBorders>
            <w:vAlign w:val="center"/>
          </w:tcPr>
          <w:p w14:paraId="1AAA4437" w14:textId="77777777" w:rsidR="00B11C6C" w:rsidRPr="0051446F" w:rsidRDefault="00000000">
            <w:pPr>
              <w:tabs>
                <w:tab w:val="left" w:pos="913"/>
              </w:tabs>
              <w:spacing w:before="100" w:beforeAutospacing="1" w:line="268" w:lineRule="auto"/>
              <w:ind w:hanging="10"/>
              <w:jc w:val="left"/>
              <w:rPr>
                <w:rFonts w:ascii="Times New Roman" w:hAnsi="Times New Roman" w:cs="Times New Roman"/>
                <w:szCs w:val="21"/>
              </w:rPr>
            </w:pPr>
            <w:r w:rsidRPr="0051446F">
              <w:rPr>
                <w:rFonts w:ascii="Times New Roman" w:hAnsi="Times New Roman" w:cs="Times New Roman"/>
                <w:szCs w:val="21"/>
              </w:rPr>
              <w:t>丁酸</w:t>
            </w:r>
            <w:r w:rsidRPr="0051446F">
              <w:rPr>
                <w:rFonts w:ascii="Times New Roman" w:hAnsi="Times New Roman" w:cs="Times New Roman"/>
                <w:szCs w:val="21"/>
              </w:rPr>
              <w:t>+</w:t>
            </w:r>
            <w:r w:rsidRPr="0051446F">
              <w:rPr>
                <w:rFonts w:ascii="Times New Roman" w:hAnsi="Times New Roman" w:cs="Times New Roman"/>
                <w:szCs w:val="21"/>
              </w:rPr>
              <w:t>丁酸乙酯</w:t>
            </w:r>
            <w:r w:rsidRPr="0051446F">
              <w:rPr>
                <w:rFonts w:ascii="Times New Roman" w:hAnsi="Times New Roman" w:cs="Times New Roman"/>
                <w:szCs w:val="21"/>
              </w:rPr>
              <w:t>(g/L)</w:t>
            </w:r>
          </w:p>
        </w:tc>
        <w:tc>
          <w:tcPr>
            <w:tcW w:w="3023" w:type="dxa"/>
            <w:gridSpan w:val="2"/>
            <w:tcBorders>
              <w:top w:val="single" w:sz="4" w:space="0" w:color="auto"/>
              <w:left w:val="nil"/>
              <w:bottom w:val="single" w:sz="4" w:space="0" w:color="auto"/>
              <w:right w:val="single" w:sz="4" w:space="0" w:color="auto"/>
            </w:tcBorders>
            <w:vAlign w:val="center"/>
          </w:tcPr>
          <w:p w14:paraId="1107A71C"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eastAsiaTheme="majorEastAsia" w:hAnsi="Times New Roman" w:cs="Times New Roman"/>
                <w:szCs w:val="21"/>
              </w:rPr>
              <w:t>≥</w:t>
            </w:r>
            <w:r w:rsidRPr="0051446F">
              <w:rPr>
                <w:rFonts w:ascii="Times New Roman" w:hAnsi="Times New Roman" w:cs="Times New Roman"/>
                <w:szCs w:val="21"/>
              </w:rPr>
              <w:t>0.30</w:t>
            </w:r>
          </w:p>
        </w:tc>
        <w:tc>
          <w:tcPr>
            <w:tcW w:w="3242" w:type="dxa"/>
            <w:tcBorders>
              <w:top w:val="single" w:sz="4" w:space="0" w:color="auto"/>
              <w:left w:val="nil"/>
              <w:bottom w:val="single" w:sz="4" w:space="0" w:color="auto"/>
              <w:right w:val="single" w:sz="4" w:space="0" w:color="auto"/>
            </w:tcBorders>
            <w:vAlign w:val="center"/>
          </w:tcPr>
          <w:p w14:paraId="6DA28854"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eastAsiaTheme="majorEastAsia" w:hAnsi="Times New Roman" w:cs="Times New Roman"/>
                <w:szCs w:val="21"/>
              </w:rPr>
              <w:t>≥</w:t>
            </w:r>
            <w:r w:rsidRPr="0051446F">
              <w:rPr>
                <w:rFonts w:ascii="Times New Roman" w:hAnsi="Times New Roman" w:cs="Times New Roman"/>
                <w:szCs w:val="21"/>
              </w:rPr>
              <w:t>0.20</w:t>
            </w:r>
          </w:p>
        </w:tc>
      </w:tr>
      <w:tr w:rsidR="00B11C6C" w:rsidRPr="0051446F" w14:paraId="54DF1445" w14:textId="77777777" w:rsidTr="0051446F">
        <w:trPr>
          <w:trHeight w:val="547"/>
          <w:jc w:val="center"/>
        </w:trPr>
        <w:tc>
          <w:tcPr>
            <w:tcW w:w="2833" w:type="dxa"/>
            <w:tcBorders>
              <w:top w:val="single" w:sz="4" w:space="0" w:color="auto"/>
              <w:left w:val="single" w:sz="4" w:space="0" w:color="auto"/>
              <w:bottom w:val="single" w:sz="4" w:space="0" w:color="auto"/>
              <w:right w:val="single" w:sz="4" w:space="0" w:color="auto"/>
            </w:tcBorders>
            <w:vAlign w:val="center"/>
          </w:tcPr>
          <w:p w14:paraId="4894C36C" w14:textId="77777777" w:rsidR="00B11C6C" w:rsidRPr="0051446F" w:rsidRDefault="00000000">
            <w:pPr>
              <w:spacing w:before="100" w:beforeAutospacing="1" w:line="268" w:lineRule="auto"/>
              <w:ind w:hanging="10"/>
              <w:jc w:val="left"/>
              <w:rPr>
                <w:rFonts w:ascii="Times New Roman" w:hAnsi="Times New Roman" w:cs="Times New Roman"/>
                <w:szCs w:val="21"/>
              </w:rPr>
            </w:pPr>
            <w:r w:rsidRPr="0051446F">
              <w:rPr>
                <w:rFonts w:ascii="Times New Roman" w:hAnsi="Times New Roman" w:cs="Times New Roman"/>
                <w:szCs w:val="21"/>
              </w:rPr>
              <w:t>乙酸</w:t>
            </w:r>
            <w:r w:rsidRPr="0051446F">
              <w:rPr>
                <w:rFonts w:ascii="Times New Roman" w:hAnsi="Times New Roman" w:cs="Times New Roman"/>
                <w:szCs w:val="21"/>
              </w:rPr>
              <w:t>+</w:t>
            </w:r>
            <w:r w:rsidRPr="0051446F">
              <w:rPr>
                <w:rFonts w:ascii="Times New Roman" w:hAnsi="Times New Roman" w:cs="Times New Roman"/>
                <w:szCs w:val="21"/>
              </w:rPr>
              <w:t>乙酸乙酯</w:t>
            </w:r>
            <w:r w:rsidRPr="0051446F">
              <w:rPr>
                <w:rFonts w:ascii="Times New Roman" w:hAnsi="Times New Roman" w:cs="Times New Roman"/>
                <w:szCs w:val="21"/>
              </w:rPr>
              <w:t>(g/L)</w:t>
            </w:r>
          </w:p>
        </w:tc>
        <w:tc>
          <w:tcPr>
            <w:tcW w:w="3023" w:type="dxa"/>
            <w:gridSpan w:val="2"/>
            <w:tcBorders>
              <w:top w:val="single" w:sz="4" w:space="0" w:color="auto"/>
              <w:left w:val="nil"/>
              <w:bottom w:val="single" w:sz="4" w:space="0" w:color="auto"/>
              <w:right w:val="single" w:sz="4" w:space="0" w:color="auto"/>
            </w:tcBorders>
            <w:vAlign w:val="center"/>
          </w:tcPr>
          <w:p w14:paraId="0E19D836"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eastAsiaTheme="majorEastAsia" w:hAnsi="Times New Roman" w:cs="Times New Roman"/>
                <w:szCs w:val="21"/>
              </w:rPr>
              <w:t>≥</w:t>
            </w:r>
            <w:r w:rsidRPr="0051446F">
              <w:rPr>
                <w:rFonts w:ascii="Times New Roman" w:hAnsi="Times New Roman" w:cs="Times New Roman"/>
                <w:szCs w:val="21"/>
              </w:rPr>
              <w:t>1.40</w:t>
            </w:r>
          </w:p>
        </w:tc>
        <w:tc>
          <w:tcPr>
            <w:tcW w:w="3242" w:type="dxa"/>
            <w:tcBorders>
              <w:top w:val="single" w:sz="4" w:space="0" w:color="auto"/>
              <w:left w:val="nil"/>
              <w:bottom w:val="single" w:sz="4" w:space="0" w:color="auto"/>
              <w:right w:val="single" w:sz="4" w:space="0" w:color="auto"/>
            </w:tcBorders>
            <w:vAlign w:val="center"/>
          </w:tcPr>
          <w:p w14:paraId="10883828"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eastAsiaTheme="majorEastAsia" w:hAnsi="Times New Roman" w:cs="Times New Roman"/>
                <w:szCs w:val="21"/>
              </w:rPr>
              <w:t>≥</w:t>
            </w:r>
            <w:r w:rsidRPr="0051446F">
              <w:rPr>
                <w:rFonts w:ascii="Times New Roman" w:hAnsi="Times New Roman" w:cs="Times New Roman"/>
                <w:szCs w:val="21"/>
              </w:rPr>
              <w:t>1.30</w:t>
            </w:r>
          </w:p>
        </w:tc>
      </w:tr>
      <w:tr w:rsidR="00B11C6C" w:rsidRPr="0051446F" w14:paraId="59D6E96B" w14:textId="77777777" w:rsidTr="0051446F">
        <w:trPr>
          <w:trHeight w:val="561"/>
          <w:jc w:val="center"/>
        </w:trPr>
        <w:tc>
          <w:tcPr>
            <w:tcW w:w="2833" w:type="dxa"/>
            <w:tcBorders>
              <w:top w:val="single" w:sz="4" w:space="0" w:color="auto"/>
              <w:left w:val="single" w:sz="4" w:space="0" w:color="auto"/>
              <w:bottom w:val="single" w:sz="4" w:space="0" w:color="auto"/>
              <w:right w:val="single" w:sz="4" w:space="0" w:color="auto"/>
            </w:tcBorders>
            <w:vAlign w:val="center"/>
          </w:tcPr>
          <w:p w14:paraId="0D198EAF" w14:textId="77777777" w:rsidR="00B11C6C" w:rsidRPr="0051446F" w:rsidRDefault="00000000">
            <w:pPr>
              <w:spacing w:before="100" w:beforeAutospacing="1" w:line="268" w:lineRule="auto"/>
              <w:ind w:hanging="10"/>
              <w:jc w:val="left"/>
              <w:rPr>
                <w:rFonts w:ascii="Times New Roman" w:hAnsi="Times New Roman" w:cs="Times New Roman"/>
                <w:szCs w:val="21"/>
              </w:rPr>
            </w:pPr>
            <w:r w:rsidRPr="0051446F">
              <w:rPr>
                <w:rFonts w:ascii="Times New Roman" w:hAnsi="Times New Roman" w:cs="Times New Roman"/>
                <w:szCs w:val="21"/>
              </w:rPr>
              <w:lastRenderedPageBreak/>
              <w:t>固形物</w:t>
            </w:r>
            <w:r w:rsidRPr="0051446F">
              <w:rPr>
                <w:rFonts w:ascii="Times New Roman" w:hAnsi="Times New Roman" w:cs="Times New Roman"/>
                <w:szCs w:val="21"/>
              </w:rPr>
              <w:t>/(g/L)</w:t>
            </w:r>
          </w:p>
        </w:tc>
        <w:tc>
          <w:tcPr>
            <w:tcW w:w="6265" w:type="dxa"/>
            <w:gridSpan w:val="3"/>
            <w:tcBorders>
              <w:top w:val="single" w:sz="4" w:space="0" w:color="auto"/>
              <w:left w:val="nil"/>
              <w:bottom w:val="single" w:sz="4" w:space="0" w:color="auto"/>
              <w:right w:val="single" w:sz="4" w:space="0" w:color="auto"/>
            </w:tcBorders>
            <w:vAlign w:val="center"/>
          </w:tcPr>
          <w:p w14:paraId="28838D77" w14:textId="77777777" w:rsidR="00B11C6C" w:rsidRPr="0051446F" w:rsidRDefault="00000000">
            <w:pPr>
              <w:spacing w:before="100" w:beforeAutospacing="1" w:line="268" w:lineRule="auto"/>
              <w:ind w:hanging="10"/>
              <w:jc w:val="center"/>
              <w:rPr>
                <w:rFonts w:ascii="Times New Roman" w:hAnsi="Times New Roman" w:cs="Times New Roman"/>
                <w:szCs w:val="21"/>
              </w:rPr>
            </w:pPr>
            <w:r w:rsidRPr="0051446F">
              <w:rPr>
                <w:rFonts w:ascii="Times New Roman" w:eastAsiaTheme="majorEastAsia" w:hAnsi="Times New Roman" w:cs="Times New Roman"/>
                <w:szCs w:val="21"/>
              </w:rPr>
              <w:t>≤</w:t>
            </w:r>
            <w:r w:rsidRPr="0051446F">
              <w:rPr>
                <w:rFonts w:ascii="Times New Roman" w:hAnsi="Times New Roman" w:cs="Times New Roman"/>
                <w:szCs w:val="21"/>
              </w:rPr>
              <w:t>0.70</w:t>
            </w:r>
          </w:p>
        </w:tc>
      </w:tr>
      <w:tr w:rsidR="00B11C6C" w:rsidRPr="0051446F" w14:paraId="49477F0A" w14:textId="77777777" w:rsidTr="0051446F">
        <w:trPr>
          <w:trHeight w:val="539"/>
          <w:jc w:val="center"/>
        </w:trPr>
        <w:tc>
          <w:tcPr>
            <w:tcW w:w="9098" w:type="dxa"/>
            <w:gridSpan w:val="4"/>
            <w:tcBorders>
              <w:top w:val="single" w:sz="4" w:space="0" w:color="auto"/>
              <w:left w:val="single" w:sz="4" w:space="0" w:color="auto"/>
              <w:bottom w:val="single" w:sz="4" w:space="0" w:color="auto"/>
              <w:right w:val="single" w:sz="4" w:space="0" w:color="auto"/>
            </w:tcBorders>
            <w:vAlign w:val="center"/>
          </w:tcPr>
          <w:p w14:paraId="24C589E3" w14:textId="77777777" w:rsidR="00B11C6C" w:rsidRPr="0051446F" w:rsidRDefault="00000000">
            <w:pPr>
              <w:pStyle w:val="a3"/>
              <w:numPr>
                <w:ilvl w:val="0"/>
                <w:numId w:val="0"/>
              </w:numPr>
              <w:rPr>
                <w:rFonts w:ascii="Times New Roman"/>
                <w:sz w:val="21"/>
                <w:szCs w:val="21"/>
              </w:rPr>
            </w:pPr>
            <w:r w:rsidRPr="0051446F">
              <w:rPr>
                <w:rFonts w:ascii="Times New Roman"/>
                <w:sz w:val="21"/>
                <w:szCs w:val="21"/>
                <w:vertAlign w:val="superscript"/>
              </w:rPr>
              <w:t>a</w:t>
            </w:r>
            <w:r w:rsidRPr="0051446F">
              <w:rPr>
                <w:rFonts w:ascii="Times New Roman"/>
                <w:sz w:val="21"/>
                <w:szCs w:val="21"/>
              </w:rPr>
              <w:t>：按</w:t>
            </w:r>
            <w:r w:rsidRPr="0051446F">
              <w:rPr>
                <w:rFonts w:ascii="Times New Roman"/>
                <w:sz w:val="21"/>
                <w:szCs w:val="21"/>
              </w:rPr>
              <w:t>54%</w:t>
            </w:r>
            <w:r w:rsidRPr="0051446F">
              <w:rPr>
                <w:rFonts w:ascii="Times New Roman"/>
                <w:sz w:val="21"/>
                <w:szCs w:val="21"/>
              </w:rPr>
              <w:t>酒精度折算。</w:t>
            </w:r>
          </w:p>
        </w:tc>
      </w:tr>
    </w:tbl>
    <w:p w14:paraId="56E1779A"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理化指标的确定是通过贵州省产品质量检验检测院，遵义市产品质量检验检测院，贵州省食品检验检测院、贵州董酒股份有限公司，四家实验室间的数据对董香型白酒</w:t>
      </w:r>
      <w:r>
        <w:rPr>
          <w:rFonts w:ascii="Times New Roman" w:eastAsia="宋体" w:hAnsi="Times New Roman" w:cs="Times New Roman" w:hint="eastAsia"/>
          <w:sz w:val="24"/>
          <w:szCs w:val="24"/>
        </w:rPr>
        <w:t>36</w:t>
      </w:r>
      <w:r>
        <w:rPr>
          <w:rFonts w:ascii="Times New Roman" w:eastAsia="宋体" w:hAnsi="Times New Roman" w:cs="Times New Roman" w:hint="eastAsia"/>
          <w:sz w:val="24"/>
          <w:szCs w:val="24"/>
        </w:rPr>
        <w:t>个样品比对分析得到。</w:t>
      </w:r>
    </w:p>
    <w:p w14:paraId="22B6280A" w14:textId="77777777" w:rsidR="00B11C6C" w:rsidRDefault="00000000">
      <w:pPr>
        <w:spacing w:line="48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酒精度：</w:t>
      </w:r>
    </w:p>
    <w:p w14:paraId="412AB9FC"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酒精度范围设置为</w:t>
      </w:r>
      <w:r>
        <w:rPr>
          <w:rFonts w:ascii="Times New Roman" w:eastAsia="宋体" w:hAnsi="Times New Roman" w:cs="Times New Roman" w:hint="eastAsia"/>
          <w:sz w:val="24"/>
          <w:szCs w:val="24"/>
        </w:rPr>
        <w:t>29.0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60.0%vol</w:t>
      </w:r>
      <w:r>
        <w:rPr>
          <w:rFonts w:ascii="Times New Roman" w:eastAsia="宋体" w:hAnsi="Times New Roman" w:cs="Times New Roman" w:hint="eastAsia"/>
          <w:sz w:val="24"/>
          <w:szCs w:val="24"/>
        </w:rPr>
        <w:t>，适应董香型白酒风格产品市场经济发展的要求。</w:t>
      </w:r>
    </w:p>
    <w:p w14:paraId="1F2DD4C9" w14:textId="77777777" w:rsidR="00B11C6C" w:rsidRDefault="00000000">
      <w:pPr>
        <w:spacing w:line="48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总酸</w:t>
      </w:r>
    </w:p>
    <w:p w14:paraId="3C48ED80"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董酒香</w:t>
      </w:r>
      <w:proofErr w:type="gramStart"/>
      <w:r>
        <w:rPr>
          <w:rFonts w:ascii="Times New Roman" w:eastAsia="宋体" w:hAnsi="Times New Roman" w:cs="Times New Roman" w:hint="eastAsia"/>
          <w:sz w:val="24"/>
          <w:szCs w:val="24"/>
        </w:rPr>
        <w:t>醅</w:t>
      </w:r>
      <w:proofErr w:type="gramEnd"/>
      <w:r>
        <w:rPr>
          <w:rFonts w:ascii="Times New Roman" w:eastAsia="宋体" w:hAnsi="Times New Roman" w:cs="Times New Roman" w:hint="eastAsia"/>
          <w:sz w:val="24"/>
          <w:szCs w:val="24"/>
        </w:rPr>
        <w:t>发酵时间长，董酒中的总酸含量高，是董酒的一个重要特点。理化指标中进行总</w:t>
      </w:r>
      <w:proofErr w:type="gramStart"/>
      <w:r>
        <w:rPr>
          <w:rFonts w:ascii="Times New Roman" w:eastAsia="宋体" w:hAnsi="Times New Roman" w:cs="Times New Roman" w:hint="eastAsia"/>
          <w:sz w:val="24"/>
          <w:szCs w:val="24"/>
        </w:rPr>
        <w:t>酸指标</w:t>
      </w:r>
      <w:proofErr w:type="gramEnd"/>
      <w:r>
        <w:rPr>
          <w:rFonts w:ascii="Times New Roman" w:eastAsia="宋体" w:hAnsi="Times New Roman" w:cs="Times New Roman" w:hint="eastAsia"/>
          <w:sz w:val="24"/>
          <w:szCs w:val="24"/>
        </w:rPr>
        <w:t>的设置。总酸≥</w:t>
      </w:r>
      <w:r>
        <w:rPr>
          <w:rFonts w:ascii="Times New Roman" w:eastAsia="宋体" w:hAnsi="Times New Roman" w:cs="Times New Roman" w:hint="eastAsia"/>
          <w:sz w:val="24"/>
          <w:szCs w:val="24"/>
        </w:rPr>
        <w:t>1.5 g/L</w:t>
      </w:r>
      <w:r>
        <w:rPr>
          <w:rFonts w:ascii="Times New Roman" w:eastAsia="宋体" w:hAnsi="Times New Roman" w:cs="Times New Roman" w:hint="eastAsia"/>
          <w:sz w:val="24"/>
          <w:szCs w:val="24"/>
        </w:rPr>
        <w:t>，按</w:t>
      </w:r>
      <w:r>
        <w:rPr>
          <w:rFonts w:ascii="Times New Roman" w:eastAsia="宋体" w:hAnsi="Times New Roman" w:cs="Times New Roman" w:hint="eastAsia"/>
          <w:sz w:val="24"/>
          <w:szCs w:val="24"/>
        </w:rPr>
        <w:t>54%vol</w:t>
      </w:r>
      <w:r>
        <w:rPr>
          <w:rFonts w:ascii="Times New Roman" w:eastAsia="宋体" w:hAnsi="Times New Roman" w:cs="Times New Roman" w:hint="eastAsia"/>
          <w:sz w:val="24"/>
          <w:szCs w:val="24"/>
        </w:rPr>
        <w:t>进行折算。</w:t>
      </w:r>
    </w:p>
    <w:p w14:paraId="54CC101B" w14:textId="77777777" w:rsidR="00B11C6C" w:rsidRDefault="00000000">
      <w:pPr>
        <w:spacing w:line="480" w:lineRule="auto"/>
        <w:ind w:firstLineChars="200" w:firstLine="482"/>
        <w:rPr>
          <w:rFonts w:ascii="Times New Roman" w:eastAsia="宋体" w:hAnsi="Times New Roman" w:cs="Times New Roman"/>
          <w:sz w:val="24"/>
          <w:szCs w:val="24"/>
        </w:rPr>
      </w:pPr>
      <w:r>
        <w:rPr>
          <w:rFonts w:ascii="Times New Roman" w:eastAsia="宋体" w:hAnsi="Times New Roman" w:cs="Times New Roman" w:hint="eastAsia"/>
          <w:b/>
          <w:bCs/>
          <w:sz w:val="24"/>
          <w:szCs w:val="24"/>
        </w:rPr>
        <w:t>酸酯总量</w:t>
      </w:r>
    </w:p>
    <w:p w14:paraId="3392B606"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酯与酸是白酒中的</w:t>
      </w:r>
      <w:proofErr w:type="gramStart"/>
      <w:r>
        <w:rPr>
          <w:rFonts w:ascii="Times New Roman" w:eastAsia="宋体" w:hAnsi="Times New Roman" w:cs="Times New Roman" w:hint="eastAsia"/>
          <w:sz w:val="24"/>
          <w:szCs w:val="24"/>
        </w:rPr>
        <w:t>呈香呈味</w:t>
      </w:r>
      <w:proofErr w:type="gramEnd"/>
      <w:r>
        <w:rPr>
          <w:rFonts w:ascii="Times New Roman" w:eastAsia="宋体" w:hAnsi="Times New Roman" w:cs="Times New Roman" w:hint="eastAsia"/>
          <w:sz w:val="24"/>
          <w:szCs w:val="24"/>
        </w:rPr>
        <w:t>物质。总酸、</w:t>
      </w:r>
      <w:proofErr w:type="gramStart"/>
      <w:r>
        <w:rPr>
          <w:rFonts w:ascii="Times New Roman" w:eastAsia="宋体" w:hAnsi="Times New Roman" w:cs="Times New Roman" w:hint="eastAsia"/>
          <w:sz w:val="24"/>
          <w:szCs w:val="24"/>
        </w:rPr>
        <w:t>总酯指标</w:t>
      </w:r>
      <w:proofErr w:type="gramEnd"/>
      <w:r>
        <w:rPr>
          <w:rFonts w:ascii="Times New Roman" w:eastAsia="宋体" w:hAnsi="Times New Roman" w:cs="Times New Roman" w:hint="eastAsia"/>
          <w:sz w:val="24"/>
          <w:szCs w:val="24"/>
        </w:rPr>
        <w:t>是原来白酒标准中设置的项目，也是白酒检测中主要的理化指标之一。不同种类和不同等级的白酒有不同的总酸、</w:t>
      </w:r>
      <w:proofErr w:type="gramStart"/>
      <w:r>
        <w:rPr>
          <w:rFonts w:ascii="Times New Roman" w:eastAsia="宋体" w:hAnsi="Times New Roman" w:cs="Times New Roman" w:hint="eastAsia"/>
          <w:sz w:val="24"/>
          <w:szCs w:val="24"/>
        </w:rPr>
        <w:t>总酯要求</w:t>
      </w:r>
      <w:proofErr w:type="gramEnd"/>
      <w:r>
        <w:rPr>
          <w:rFonts w:ascii="Times New Roman" w:eastAsia="宋体" w:hAnsi="Times New Roman" w:cs="Times New Roman" w:hint="eastAsia"/>
          <w:sz w:val="24"/>
          <w:szCs w:val="24"/>
        </w:rPr>
        <w:t>。但总酸、</w:t>
      </w:r>
      <w:proofErr w:type="gramStart"/>
      <w:r>
        <w:rPr>
          <w:rFonts w:ascii="Times New Roman" w:eastAsia="宋体" w:hAnsi="Times New Roman" w:cs="Times New Roman" w:hint="eastAsia"/>
          <w:sz w:val="24"/>
          <w:szCs w:val="24"/>
        </w:rPr>
        <w:t>总酯随着</w:t>
      </w:r>
      <w:proofErr w:type="gramEnd"/>
      <w:r>
        <w:rPr>
          <w:rFonts w:ascii="Times New Roman" w:eastAsia="宋体" w:hAnsi="Times New Roman" w:cs="Times New Roman" w:hint="eastAsia"/>
          <w:sz w:val="24"/>
          <w:szCs w:val="24"/>
        </w:rPr>
        <w:t>储存时间的延长会发生改变，基本情况</w:t>
      </w:r>
      <w:proofErr w:type="gramStart"/>
      <w:r>
        <w:rPr>
          <w:rFonts w:ascii="Times New Roman" w:eastAsia="宋体" w:hAnsi="Times New Roman" w:cs="Times New Roman" w:hint="eastAsia"/>
          <w:sz w:val="24"/>
          <w:szCs w:val="24"/>
        </w:rPr>
        <w:t>是总酯减少</w:t>
      </w:r>
      <w:proofErr w:type="gramEnd"/>
      <w:r>
        <w:rPr>
          <w:rFonts w:ascii="Times New Roman" w:eastAsia="宋体" w:hAnsi="Times New Roman" w:cs="Times New Roman" w:hint="eastAsia"/>
          <w:sz w:val="24"/>
          <w:szCs w:val="24"/>
        </w:rPr>
        <w:t>、总酸增加，是个动态过程。虽然储存过程中总酸、</w:t>
      </w:r>
      <w:proofErr w:type="gramStart"/>
      <w:r>
        <w:rPr>
          <w:rFonts w:ascii="Times New Roman" w:eastAsia="宋体" w:hAnsi="Times New Roman" w:cs="Times New Roman" w:hint="eastAsia"/>
          <w:sz w:val="24"/>
          <w:szCs w:val="24"/>
        </w:rPr>
        <w:t>总酯的</w:t>
      </w:r>
      <w:proofErr w:type="gramEnd"/>
      <w:r>
        <w:rPr>
          <w:rFonts w:ascii="Times New Roman" w:eastAsia="宋体" w:hAnsi="Times New Roman" w:cs="Times New Roman" w:hint="eastAsia"/>
          <w:sz w:val="24"/>
          <w:szCs w:val="24"/>
        </w:rPr>
        <w:t>含量不断变化，但并没有影响白酒的质量水平降低和增加食品安全的风险，反而提高了白酒感官质量水平，白酒的陈香味更为突出。总酸、</w:t>
      </w:r>
      <w:proofErr w:type="gramStart"/>
      <w:r>
        <w:rPr>
          <w:rFonts w:ascii="Times New Roman" w:eastAsia="宋体" w:hAnsi="Times New Roman" w:cs="Times New Roman" w:hint="eastAsia"/>
          <w:sz w:val="24"/>
          <w:szCs w:val="24"/>
        </w:rPr>
        <w:t>总酯指标</w:t>
      </w:r>
      <w:proofErr w:type="gramEnd"/>
      <w:r>
        <w:rPr>
          <w:rFonts w:ascii="Times New Roman" w:eastAsia="宋体" w:hAnsi="Times New Roman" w:cs="Times New Roman" w:hint="eastAsia"/>
          <w:sz w:val="24"/>
          <w:szCs w:val="24"/>
        </w:rPr>
        <w:t>的单独设置，不能真实反映出白酒的实际质量水平。酸酯总量指标的设置，是经过白酒行业不断研究和讨论，形成统一意见后，也在相关修订的国家白酒标准中使用。酸酯总量是指单位体积董香型白酒中的酸类物质和酯类物质的总和，以消耗氢氧化钠标准溶液的毫摩尔数量表示，单位为</w:t>
      </w:r>
      <w:r>
        <w:rPr>
          <w:rFonts w:ascii="Times New Roman" w:eastAsia="宋体" w:hAnsi="Times New Roman" w:cs="Times New Roman" w:hint="eastAsia"/>
          <w:sz w:val="24"/>
          <w:szCs w:val="24"/>
        </w:rPr>
        <w:t>mmol/L</w:t>
      </w:r>
      <w:r>
        <w:rPr>
          <w:rFonts w:ascii="Times New Roman" w:eastAsia="宋体" w:hAnsi="Times New Roman" w:cs="Times New Roman" w:hint="eastAsia"/>
          <w:sz w:val="24"/>
          <w:szCs w:val="24"/>
        </w:rPr>
        <w:t>，根据董香型白酒样品的普查数据。设置如下：</w:t>
      </w:r>
      <w:r>
        <w:rPr>
          <w:rFonts w:ascii="Times New Roman" w:eastAsia="宋体" w:hAnsi="Times New Roman" w:cs="Times New Roman" w:hint="eastAsia"/>
          <w:sz w:val="24"/>
          <w:szCs w:val="24"/>
        </w:rPr>
        <w:lastRenderedPageBreak/>
        <w:t>酸酯总量：优级≥</w:t>
      </w:r>
      <w:r>
        <w:rPr>
          <w:rFonts w:ascii="Times New Roman" w:eastAsia="宋体" w:hAnsi="Times New Roman" w:cs="Times New Roman" w:hint="eastAsia"/>
          <w:sz w:val="24"/>
          <w:szCs w:val="24"/>
        </w:rPr>
        <w:t>40.00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mmol/L</w:t>
      </w:r>
      <w:r>
        <w:rPr>
          <w:rFonts w:ascii="Times New Roman" w:eastAsia="宋体" w:hAnsi="Times New Roman" w:cs="Times New Roman" w:hint="eastAsia"/>
          <w:sz w:val="24"/>
          <w:szCs w:val="24"/>
        </w:rPr>
        <w:t>），一级≥</w:t>
      </w:r>
      <w:r>
        <w:rPr>
          <w:rFonts w:ascii="Times New Roman" w:eastAsia="宋体" w:hAnsi="Times New Roman" w:cs="Times New Roman" w:hint="eastAsia"/>
          <w:sz w:val="24"/>
          <w:szCs w:val="24"/>
        </w:rPr>
        <w:t>35.00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mmol/L</w:t>
      </w:r>
      <w:r>
        <w:rPr>
          <w:rFonts w:ascii="Times New Roman" w:eastAsia="宋体" w:hAnsi="Times New Roman" w:cs="Times New Roman" w:hint="eastAsia"/>
          <w:sz w:val="24"/>
          <w:szCs w:val="24"/>
        </w:rPr>
        <w:t>）；按</w:t>
      </w:r>
      <w:r>
        <w:rPr>
          <w:rFonts w:ascii="Times New Roman" w:eastAsia="宋体" w:hAnsi="Times New Roman" w:cs="Times New Roman" w:hint="eastAsia"/>
          <w:sz w:val="24"/>
          <w:szCs w:val="24"/>
        </w:rPr>
        <w:t>54%vol</w:t>
      </w:r>
      <w:r>
        <w:rPr>
          <w:rFonts w:ascii="Times New Roman" w:eastAsia="宋体" w:hAnsi="Times New Roman" w:cs="Times New Roman" w:hint="eastAsia"/>
          <w:sz w:val="24"/>
          <w:szCs w:val="24"/>
        </w:rPr>
        <w:t>进行折算。</w:t>
      </w:r>
    </w:p>
    <w:p w14:paraId="1E5DD255" w14:textId="77777777" w:rsidR="00B11C6C" w:rsidRDefault="00000000">
      <w:pPr>
        <w:spacing w:line="48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丁酸</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丁酸乙酯、乙酸</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乙酸乙酯</w:t>
      </w:r>
    </w:p>
    <w:p w14:paraId="105ACBAB"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丁酸、丁酸乙酯、乙酸、乙酸乙酯是董酒独特的香味组成成分。各种香味成分组成与其它名优白酒具有明显差异，同时还具有“三高一低”的特点。三高就包括董酒的丁酸和丁酸乙酯高，丁酸</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丁酸乙酯、乙酸</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乙酸乙酯指标设立，更能彰显董酒独特香味组成。设置如下：丁酸</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丁酸乙酯：优级≥</w:t>
      </w:r>
      <w:r>
        <w:rPr>
          <w:rFonts w:ascii="Times New Roman" w:eastAsia="宋体" w:hAnsi="Times New Roman" w:cs="Times New Roman" w:hint="eastAsia"/>
          <w:sz w:val="24"/>
          <w:szCs w:val="24"/>
        </w:rPr>
        <w:t>0.30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g/L</w:t>
      </w:r>
      <w:r>
        <w:rPr>
          <w:rFonts w:ascii="Times New Roman" w:eastAsia="宋体" w:hAnsi="Times New Roman" w:cs="Times New Roman" w:hint="eastAsia"/>
          <w:sz w:val="24"/>
          <w:szCs w:val="24"/>
        </w:rPr>
        <w:t>），一级≥</w:t>
      </w:r>
      <w:r>
        <w:rPr>
          <w:rFonts w:ascii="Times New Roman" w:eastAsia="宋体" w:hAnsi="Times New Roman" w:cs="Times New Roman" w:hint="eastAsia"/>
          <w:sz w:val="24"/>
          <w:szCs w:val="24"/>
        </w:rPr>
        <w:t>0.20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g/L</w:t>
      </w:r>
      <w:r>
        <w:rPr>
          <w:rFonts w:ascii="Times New Roman" w:eastAsia="宋体" w:hAnsi="Times New Roman" w:cs="Times New Roman" w:hint="eastAsia"/>
          <w:sz w:val="24"/>
          <w:szCs w:val="24"/>
        </w:rPr>
        <w:t>）；乙酸</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乙酸乙酯：优级≥</w:t>
      </w:r>
      <w:r>
        <w:rPr>
          <w:rFonts w:ascii="Times New Roman" w:eastAsia="宋体" w:hAnsi="Times New Roman" w:cs="Times New Roman" w:hint="eastAsia"/>
          <w:sz w:val="24"/>
          <w:szCs w:val="24"/>
        </w:rPr>
        <w:t>1.40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g/L</w:t>
      </w:r>
      <w:r>
        <w:rPr>
          <w:rFonts w:ascii="Times New Roman" w:eastAsia="宋体" w:hAnsi="Times New Roman" w:cs="Times New Roman" w:hint="eastAsia"/>
          <w:sz w:val="24"/>
          <w:szCs w:val="24"/>
        </w:rPr>
        <w:t>），一级≥</w:t>
      </w:r>
      <w:r>
        <w:rPr>
          <w:rFonts w:ascii="Times New Roman" w:eastAsia="宋体" w:hAnsi="Times New Roman" w:cs="Times New Roman" w:hint="eastAsia"/>
          <w:sz w:val="24"/>
          <w:szCs w:val="24"/>
        </w:rPr>
        <w:t>1.30</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g/L</w:t>
      </w:r>
      <w:r>
        <w:rPr>
          <w:rFonts w:ascii="Times New Roman" w:eastAsia="宋体" w:hAnsi="Times New Roman" w:cs="Times New Roman" w:hint="eastAsia"/>
          <w:sz w:val="24"/>
          <w:szCs w:val="24"/>
        </w:rPr>
        <w:t>）；按实测值。</w:t>
      </w:r>
    </w:p>
    <w:p w14:paraId="064408DC" w14:textId="77777777" w:rsidR="00B11C6C" w:rsidRDefault="00000000">
      <w:pPr>
        <w:spacing w:line="48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固形物</w:t>
      </w:r>
    </w:p>
    <w:p w14:paraId="7B149A10"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固形物≤</w:t>
      </w:r>
      <w:r>
        <w:rPr>
          <w:rFonts w:ascii="Times New Roman" w:eastAsia="宋体" w:hAnsi="Times New Roman" w:cs="Times New Roman" w:hint="eastAsia"/>
          <w:sz w:val="24"/>
          <w:szCs w:val="24"/>
        </w:rPr>
        <w:t>0.7 g/L</w:t>
      </w:r>
      <w:r>
        <w:rPr>
          <w:rFonts w:ascii="Times New Roman" w:eastAsia="宋体" w:hAnsi="Times New Roman" w:cs="Times New Roman" w:hint="eastAsia"/>
          <w:sz w:val="24"/>
          <w:szCs w:val="24"/>
        </w:rPr>
        <w:t>，按实测值。</w:t>
      </w:r>
    </w:p>
    <w:p w14:paraId="60675637" w14:textId="77777777" w:rsidR="00B11C6C" w:rsidRDefault="00000000">
      <w:pPr>
        <w:spacing w:line="520" w:lineRule="exact"/>
        <w:rPr>
          <w:rFonts w:ascii="宋体" w:hAnsi="宋体"/>
          <w:b/>
          <w:bCs/>
          <w:color w:val="000000"/>
          <w:sz w:val="24"/>
          <w:szCs w:val="24"/>
        </w:rPr>
      </w:pPr>
      <w:r>
        <w:rPr>
          <w:rFonts w:ascii="Times New Roman" w:eastAsia="宋体" w:hAnsi="Times New Roman" w:cs="Times New Roman" w:hint="eastAsia"/>
          <w:b/>
          <w:bCs/>
          <w:sz w:val="24"/>
          <w:szCs w:val="24"/>
        </w:rPr>
        <w:t>四、</w:t>
      </w:r>
      <w:r>
        <w:rPr>
          <w:rFonts w:ascii="Times New Roman" w:eastAsia="宋体" w:hAnsi="Times New Roman" w:cs="Times New Roman" w:hint="eastAsia"/>
          <w:b/>
          <w:bCs/>
          <w:sz w:val="24"/>
          <w:szCs w:val="24"/>
        </w:rPr>
        <w:t xml:space="preserve"> </w:t>
      </w:r>
      <w:r>
        <w:rPr>
          <w:rFonts w:ascii="宋体" w:hAnsi="宋体" w:hint="eastAsia"/>
          <w:b/>
          <w:bCs/>
          <w:color w:val="000000"/>
          <w:sz w:val="24"/>
          <w:szCs w:val="24"/>
        </w:rPr>
        <w:t>标准中涉及的专利</w:t>
      </w:r>
    </w:p>
    <w:p w14:paraId="7763664D"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无。</w:t>
      </w:r>
    </w:p>
    <w:p w14:paraId="3B588E83" w14:textId="77777777" w:rsidR="00B11C6C" w:rsidRDefault="00000000">
      <w:pPr>
        <w:spacing w:line="520" w:lineRule="exact"/>
        <w:rPr>
          <w:rFonts w:ascii="宋体" w:hAnsi="宋体"/>
          <w:b/>
          <w:bCs/>
          <w:color w:val="000000"/>
          <w:sz w:val="24"/>
          <w:szCs w:val="24"/>
        </w:rPr>
      </w:pPr>
      <w:r>
        <w:rPr>
          <w:rFonts w:ascii="宋体" w:hAnsi="宋体" w:hint="eastAsia"/>
          <w:b/>
          <w:bCs/>
          <w:color w:val="000000"/>
          <w:sz w:val="24"/>
          <w:szCs w:val="24"/>
        </w:rPr>
        <w:t>五、</w:t>
      </w:r>
      <w:r>
        <w:rPr>
          <w:rFonts w:ascii="Times New Roman" w:eastAsia="宋体" w:hAnsi="Times New Roman" w:cs="Times New Roman"/>
          <w:b/>
          <w:bCs/>
          <w:sz w:val="24"/>
          <w:szCs w:val="24"/>
        </w:rPr>
        <w:t>采用国际标准和国外先进标准的程度，以及与国际、国外同类标准水平的对比情况，或与测试的国外样品、样机的有关数据对比情况。</w:t>
      </w:r>
    </w:p>
    <w:p w14:paraId="4F5FF8DA"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无。</w:t>
      </w:r>
    </w:p>
    <w:p w14:paraId="2FDAA50E" w14:textId="77777777" w:rsidR="00B11C6C" w:rsidRDefault="00000000">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六、与有关的现行法律、法规和强制性国家标准的关系</w:t>
      </w:r>
    </w:p>
    <w:p w14:paraId="71FAC61A" w14:textId="77777777" w:rsidR="00B11C6C" w:rsidRDefault="0000000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从我国董香型白酒行业的实际情况出发，参考了国内相关资料，体现了科学性、先进性和可操作性原则，在制定过程中充分考虑国内相关的法规要求，并结合董香型白酒的特点；与现行法律、法规和强制性国家标准协调一致。</w:t>
      </w:r>
    </w:p>
    <w:p w14:paraId="3C8EC03E" w14:textId="77777777" w:rsidR="00B11C6C" w:rsidRDefault="00000000">
      <w:pPr>
        <w:spacing w:line="520" w:lineRule="exact"/>
        <w:rPr>
          <w:rFonts w:ascii="宋体" w:hAnsi="宋体"/>
          <w:b/>
          <w:bCs/>
          <w:color w:val="000000"/>
          <w:sz w:val="24"/>
          <w:szCs w:val="24"/>
        </w:rPr>
      </w:pPr>
      <w:r>
        <w:rPr>
          <w:rFonts w:ascii="宋体" w:hAnsi="宋体" w:hint="eastAsia"/>
          <w:b/>
          <w:bCs/>
          <w:color w:val="000000"/>
          <w:sz w:val="24"/>
          <w:szCs w:val="24"/>
        </w:rPr>
        <w:t xml:space="preserve">七、重大分歧意见的处理经过和依据 </w:t>
      </w:r>
    </w:p>
    <w:p w14:paraId="4B71DA79" w14:textId="77777777" w:rsidR="00B11C6C" w:rsidRDefault="00000000">
      <w:pPr>
        <w:spacing w:line="520" w:lineRule="exact"/>
        <w:ind w:firstLineChars="200" w:firstLine="480"/>
        <w:rPr>
          <w:rFonts w:ascii="宋体" w:hAnsi="宋体"/>
          <w:color w:val="000000"/>
          <w:sz w:val="24"/>
          <w:szCs w:val="24"/>
        </w:rPr>
      </w:pPr>
      <w:r>
        <w:rPr>
          <w:rFonts w:ascii="宋体" w:hAnsi="宋体" w:hint="eastAsia"/>
          <w:color w:val="000000"/>
          <w:sz w:val="24"/>
          <w:szCs w:val="24"/>
        </w:rPr>
        <w:t>无重大分歧意见。</w:t>
      </w:r>
    </w:p>
    <w:p w14:paraId="69D72687" w14:textId="77777777" w:rsidR="00B11C6C" w:rsidRDefault="00000000">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八</w:t>
      </w:r>
      <w:r>
        <w:rPr>
          <w:rFonts w:ascii="Times New Roman" w:eastAsia="宋体" w:hAnsi="Times New Roman" w:cs="Times New Roman"/>
          <w:b/>
          <w:bCs/>
          <w:sz w:val="24"/>
          <w:szCs w:val="24"/>
        </w:rPr>
        <w:t>、贯彻</w:t>
      </w:r>
      <w:r>
        <w:rPr>
          <w:rFonts w:ascii="Times New Roman" w:eastAsia="宋体" w:hAnsi="Times New Roman" w:cs="Times New Roman" w:hint="eastAsia"/>
          <w:b/>
          <w:bCs/>
          <w:sz w:val="24"/>
          <w:szCs w:val="24"/>
        </w:rPr>
        <w:t>团体</w:t>
      </w:r>
      <w:r>
        <w:rPr>
          <w:rFonts w:ascii="Times New Roman" w:eastAsia="宋体" w:hAnsi="Times New Roman" w:cs="Times New Roman"/>
          <w:b/>
          <w:bCs/>
          <w:sz w:val="24"/>
          <w:szCs w:val="24"/>
        </w:rPr>
        <w:t>标准的要求和措施建议（包括组织措施、技术措施、过渡办法等内</w:t>
      </w:r>
      <w:r>
        <w:rPr>
          <w:rFonts w:ascii="Times New Roman" w:eastAsia="宋体" w:hAnsi="Times New Roman" w:cs="Times New Roman"/>
          <w:b/>
          <w:bCs/>
          <w:sz w:val="24"/>
          <w:szCs w:val="24"/>
        </w:rPr>
        <w:lastRenderedPageBreak/>
        <w:t>容）</w:t>
      </w:r>
    </w:p>
    <w:p w14:paraId="7DEDE953" w14:textId="77777777" w:rsidR="00B11C6C" w:rsidRDefault="00000000">
      <w:pPr>
        <w:spacing w:line="480" w:lineRule="auto"/>
        <w:ind w:firstLineChars="200" w:firstLine="480"/>
        <w:rPr>
          <w:rFonts w:ascii="宋体" w:hAnsi="宋体"/>
          <w:b/>
          <w:bCs/>
          <w:color w:val="000000"/>
          <w:sz w:val="24"/>
          <w:szCs w:val="24"/>
        </w:rPr>
      </w:pPr>
      <w:bookmarkStart w:id="5" w:name="_Hlk86399637"/>
      <w:r>
        <w:rPr>
          <w:rFonts w:ascii="Times New Roman" w:eastAsia="宋体" w:hAnsi="Times New Roman" w:cs="Times New Roman"/>
          <w:sz w:val="24"/>
          <w:szCs w:val="24"/>
        </w:rPr>
        <w:t>建议本标准</w:t>
      </w:r>
      <w:r>
        <w:rPr>
          <w:rFonts w:ascii="Times New Roman" w:eastAsia="宋体" w:hAnsi="Times New Roman" w:cs="Times New Roman" w:hint="eastAsia"/>
          <w:sz w:val="24"/>
          <w:szCs w:val="24"/>
        </w:rPr>
        <w:t>审核、批准</w:t>
      </w:r>
      <w:r>
        <w:rPr>
          <w:rFonts w:ascii="Times New Roman" w:eastAsia="宋体" w:hAnsi="Times New Roman" w:cs="Times New Roman"/>
          <w:sz w:val="24"/>
          <w:szCs w:val="24"/>
        </w:rPr>
        <w:t>发布后实施，由归口单位组织行业相关单位积极开展宣贯工作</w:t>
      </w:r>
      <w:r>
        <w:rPr>
          <w:rFonts w:ascii="Times New Roman" w:eastAsia="宋体" w:hAnsi="Times New Roman" w:cs="Times New Roman" w:hint="eastAsia"/>
          <w:sz w:val="24"/>
          <w:szCs w:val="24"/>
        </w:rPr>
        <w:t>，在行业内进行推广</w:t>
      </w:r>
      <w:r>
        <w:rPr>
          <w:rFonts w:ascii="Times New Roman" w:eastAsia="宋体" w:hAnsi="Times New Roman" w:cs="Times New Roman"/>
          <w:sz w:val="24"/>
          <w:szCs w:val="24"/>
        </w:rPr>
        <w:t>。</w:t>
      </w:r>
      <w:bookmarkEnd w:id="5"/>
    </w:p>
    <w:p w14:paraId="2B1CFEA7" w14:textId="77777777" w:rsidR="00B11C6C" w:rsidRDefault="00000000">
      <w:pPr>
        <w:spacing w:line="520" w:lineRule="exact"/>
        <w:rPr>
          <w:rFonts w:ascii="宋体" w:hAnsi="宋体"/>
          <w:b/>
          <w:bCs/>
          <w:color w:val="000000"/>
          <w:sz w:val="24"/>
          <w:szCs w:val="24"/>
        </w:rPr>
      </w:pPr>
      <w:r>
        <w:rPr>
          <w:rFonts w:ascii="宋体" w:hAnsi="宋体" w:hint="eastAsia"/>
          <w:b/>
          <w:bCs/>
          <w:color w:val="000000"/>
          <w:sz w:val="24"/>
          <w:szCs w:val="24"/>
        </w:rPr>
        <w:t>九、</w:t>
      </w:r>
      <w:r>
        <w:rPr>
          <w:rFonts w:ascii="Times New Roman" w:eastAsia="宋体" w:hAnsi="Times New Roman" w:cs="Times New Roman"/>
          <w:b/>
          <w:bCs/>
          <w:sz w:val="24"/>
          <w:szCs w:val="24"/>
        </w:rPr>
        <w:t>废止现行相关标准的建议</w:t>
      </w:r>
    </w:p>
    <w:p w14:paraId="12621CEB" w14:textId="77777777" w:rsidR="00B11C6C" w:rsidRDefault="00000000">
      <w:pPr>
        <w:spacing w:line="520" w:lineRule="exact"/>
        <w:ind w:firstLineChars="200" w:firstLine="480"/>
        <w:rPr>
          <w:rFonts w:ascii="宋体" w:hAnsi="宋体"/>
          <w:color w:val="000000"/>
          <w:sz w:val="24"/>
          <w:szCs w:val="24"/>
        </w:rPr>
      </w:pPr>
      <w:r>
        <w:rPr>
          <w:rFonts w:ascii="宋体" w:hAnsi="宋体" w:hint="eastAsia"/>
          <w:color w:val="000000"/>
          <w:sz w:val="24"/>
          <w:szCs w:val="24"/>
        </w:rPr>
        <w:t>无。</w:t>
      </w:r>
    </w:p>
    <w:p w14:paraId="58FC2B73" w14:textId="77777777" w:rsidR="00B11C6C" w:rsidRDefault="00B11C6C">
      <w:pPr>
        <w:spacing w:line="520" w:lineRule="exact"/>
        <w:rPr>
          <w:rFonts w:ascii="宋体" w:hAnsi="宋体"/>
          <w:bCs/>
          <w:color w:val="000000"/>
          <w:sz w:val="24"/>
          <w:szCs w:val="24"/>
        </w:rPr>
      </w:pPr>
    </w:p>
    <w:p w14:paraId="5D1BD0F0" w14:textId="77777777" w:rsidR="00B11C6C" w:rsidRDefault="00000000">
      <w:pPr>
        <w:spacing w:line="520" w:lineRule="exact"/>
        <w:ind w:firstLineChars="1450" w:firstLine="3480"/>
        <w:jc w:val="right"/>
        <w:rPr>
          <w:rFonts w:ascii="宋体" w:hAnsi="宋体"/>
          <w:bCs/>
          <w:color w:val="000000"/>
          <w:sz w:val="24"/>
          <w:szCs w:val="24"/>
        </w:rPr>
      </w:pPr>
      <w:r>
        <w:rPr>
          <w:rFonts w:ascii="宋体" w:hAnsi="宋体" w:hint="eastAsia"/>
          <w:bCs/>
          <w:color w:val="000000"/>
          <w:sz w:val="24"/>
          <w:szCs w:val="24"/>
        </w:rPr>
        <w:t>董香型白酒团体标准制定小组</w:t>
      </w:r>
    </w:p>
    <w:p w14:paraId="0F2B7230" w14:textId="77777777" w:rsidR="00B11C6C" w:rsidRDefault="00000000">
      <w:pPr>
        <w:spacing w:line="520" w:lineRule="exact"/>
        <w:ind w:firstLineChars="1700" w:firstLine="4080"/>
        <w:jc w:val="right"/>
        <w:rPr>
          <w:rFonts w:ascii="宋体" w:hAnsi="宋体"/>
          <w:bCs/>
          <w:color w:val="000000"/>
          <w:sz w:val="24"/>
          <w:szCs w:val="24"/>
        </w:rPr>
      </w:pPr>
      <w:r>
        <w:rPr>
          <w:rFonts w:ascii="宋体" w:hAnsi="宋体" w:hint="eastAsia"/>
          <w:bCs/>
          <w:color w:val="000000"/>
          <w:sz w:val="24"/>
          <w:szCs w:val="24"/>
        </w:rPr>
        <w:t>202</w:t>
      </w:r>
      <w:r>
        <w:rPr>
          <w:rFonts w:ascii="宋体" w:hAnsi="宋体"/>
          <w:bCs/>
          <w:color w:val="000000"/>
          <w:sz w:val="24"/>
          <w:szCs w:val="24"/>
        </w:rPr>
        <w:t>3</w:t>
      </w:r>
      <w:r>
        <w:rPr>
          <w:rFonts w:ascii="宋体" w:hAnsi="宋体" w:hint="eastAsia"/>
          <w:bCs/>
          <w:color w:val="000000"/>
          <w:sz w:val="24"/>
          <w:szCs w:val="24"/>
        </w:rPr>
        <w:t>年8月7日</w:t>
      </w:r>
    </w:p>
    <w:sectPr w:rsidR="00B11C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71018" w14:textId="77777777" w:rsidR="002914A7" w:rsidRDefault="002914A7" w:rsidP="00700691">
      <w:r>
        <w:separator/>
      </w:r>
    </w:p>
  </w:endnote>
  <w:endnote w:type="continuationSeparator" w:id="0">
    <w:p w14:paraId="7129A766" w14:textId="77777777" w:rsidR="002914A7" w:rsidRDefault="002914A7" w:rsidP="00700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16109" w14:textId="77777777" w:rsidR="002914A7" w:rsidRDefault="002914A7" w:rsidP="00700691">
      <w:r>
        <w:separator/>
      </w:r>
    </w:p>
  </w:footnote>
  <w:footnote w:type="continuationSeparator" w:id="0">
    <w:p w14:paraId="04E4AE90" w14:textId="77777777" w:rsidR="002914A7" w:rsidRDefault="002914A7" w:rsidP="00700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917C3"/>
    <w:multiLevelType w:val="multilevel"/>
    <w:tmpl w:val="2C5917C3"/>
    <w:lvl w:ilvl="0">
      <w:start w:val="1"/>
      <w:numFmt w:val="none"/>
      <w:pStyle w:val="a"/>
      <w:suff w:val="nothing"/>
      <w:lvlText w:val="%1——"/>
      <w:lvlJc w:val="left"/>
      <w:pPr>
        <w:ind w:left="833" w:hanging="408"/>
      </w:pPr>
      <w:rPr>
        <w:rFonts w:hint="eastAsia"/>
      </w:rPr>
    </w:lvl>
    <w:lvl w:ilvl="1">
      <w:start w:val="1"/>
      <w:numFmt w:val="bullet"/>
      <w:lvlText w:val=""/>
      <w:lvlJc w:val="left"/>
      <w:pPr>
        <w:tabs>
          <w:tab w:val="left" w:pos="760"/>
        </w:tabs>
        <w:ind w:left="1264" w:hanging="413"/>
      </w:pPr>
      <w:rPr>
        <w:rFonts w:ascii="Symbol" w:hAnsi="Symbol" w:hint="default"/>
        <w:color w:val="auto"/>
      </w:rPr>
    </w:lvl>
    <w:lvl w:ilvl="2">
      <w:start w:val="1"/>
      <w:numFmt w:val="bullet"/>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 w15:restartNumberingAfterBreak="0">
    <w:nsid w:val="4D5C1412"/>
    <w:multiLevelType w:val="multilevel"/>
    <w:tmpl w:val="4D5C141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646260FA"/>
    <w:multiLevelType w:val="multilevel"/>
    <w:tmpl w:val="646260FA"/>
    <w:lvl w:ilvl="0">
      <w:start w:val="1"/>
      <w:numFmt w:val="decimal"/>
      <w:pStyle w:val="a0"/>
      <w:suff w:val="nothing"/>
      <w:lvlText w:val="表%1　"/>
      <w:lvlJc w:val="left"/>
      <w:pPr>
        <w:ind w:left="4537" w:firstLine="0"/>
      </w:pPr>
      <w:rPr>
        <w:rFonts w:ascii="黑体" w:eastAsia="黑体" w:hAnsi="Times New Roman" w:hint="eastAsia"/>
        <w:b w:val="0"/>
        <w:i w:val="0"/>
        <w:sz w:val="21"/>
      </w:rPr>
    </w:lvl>
    <w:lvl w:ilvl="1">
      <w:start w:val="1"/>
      <w:numFmt w:val="decimal"/>
      <w:lvlText w:val="%1.%2"/>
      <w:lvlJc w:val="left"/>
      <w:pPr>
        <w:tabs>
          <w:tab w:val="left" w:pos="1984"/>
        </w:tabs>
        <w:ind w:left="1984" w:hanging="567"/>
      </w:pPr>
      <w:rPr>
        <w:rFonts w:hint="eastAsia"/>
      </w:rPr>
    </w:lvl>
    <w:lvl w:ilvl="2">
      <w:start w:val="1"/>
      <w:numFmt w:val="decimal"/>
      <w:lvlText w:val="%1.%2.%3"/>
      <w:lvlJc w:val="left"/>
      <w:pPr>
        <w:tabs>
          <w:tab w:val="left" w:pos="2410"/>
        </w:tabs>
        <w:ind w:left="2410" w:hanging="567"/>
      </w:pPr>
      <w:rPr>
        <w:rFonts w:hint="eastAsia"/>
      </w:rPr>
    </w:lvl>
    <w:lvl w:ilvl="3">
      <w:start w:val="1"/>
      <w:numFmt w:val="decimal"/>
      <w:lvlText w:val="%1.%2.%3.%4"/>
      <w:lvlJc w:val="left"/>
      <w:pPr>
        <w:tabs>
          <w:tab w:val="left" w:pos="2976"/>
        </w:tabs>
        <w:ind w:left="2976" w:hanging="708"/>
      </w:pPr>
      <w:rPr>
        <w:rFonts w:hint="eastAsia"/>
      </w:rPr>
    </w:lvl>
    <w:lvl w:ilvl="4">
      <w:start w:val="1"/>
      <w:numFmt w:val="decimal"/>
      <w:lvlText w:val="%1.%2.%3.%4.%5"/>
      <w:lvlJc w:val="left"/>
      <w:pPr>
        <w:tabs>
          <w:tab w:val="left" w:pos="3543"/>
        </w:tabs>
        <w:ind w:left="3543" w:hanging="850"/>
      </w:pPr>
      <w:rPr>
        <w:rFonts w:hint="eastAsia"/>
      </w:rPr>
    </w:lvl>
    <w:lvl w:ilvl="5">
      <w:start w:val="1"/>
      <w:numFmt w:val="decimal"/>
      <w:lvlText w:val="%1.%2.%3.%4.%5.%6"/>
      <w:lvlJc w:val="left"/>
      <w:pPr>
        <w:tabs>
          <w:tab w:val="left" w:pos="4252"/>
        </w:tabs>
        <w:ind w:left="4252" w:hanging="1134"/>
      </w:pPr>
      <w:rPr>
        <w:rFonts w:hint="eastAsia"/>
      </w:rPr>
    </w:lvl>
    <w:lvl w:ilvl="6">
      <w:start w:val="1"/>
      <w:numFmt w:val="decimal"/>
      <w:lvlText w:val="%1.%2.%3.%4.%5.%6.%7"/>
      <w:lvlJc w:val="left"/>
      <w:pPr>
        <w:tabs>
          <w:tab w:val="left" w:pos="4819"/>
        </w:tabs>
        <w:ind w:left="4819" w:hanging="1276"/>
      </w:pPr>
      <w:rPr>
        <w:rFonts w:hint="eastAsia"/>
      </w:rPr>
    </w:lvl>
    <w:lvl w:ilvl="7">
      <w:start w:val="1"/>
      <w:numFmt w:val="decimal"/>
      <w:lvlText w:val="%1.%2.%3.%4.%5.%6.%7.%8"/>
      <w:lvlJc w:val="left"/>
      <w:pPr>
        <w:tabs>
          <w:tab w:val="left" w:pos="5386"/>
        </w:tabs>
        <w:ind w:left="5386" w:hanging="1418"/>
      </w:pPr>
      <w:rPr>
        <w:rFonts w:hint="eastAsia"/>
      </w:rPr>
    </w:lvl>
    <w:lvl w:ilvl="8">
      <w:start w:val="1"/>
      <w:numFmt w:val="decimal"/>
      <w:lvlText w:val="%1.%2.%3.%4.%5.%6.%7.%8.%9"/>
      <w:lvlJc w:val="left"/>
      <w:pPr>
        <w:tabs>
          <w:tab w:val="left" w:pos="6094"/>
        </w:tabs>
        <w:ind w:left="6094" w:hanging="1700"/>
      </w:pPr>
      <w:rPr>
        <w:rFonts w:hint="eastAsia"/>
      </w:rPr>
    </w:lvl>
  </w:abstractNum>
  <w:abstractNum w:abstractNumId="3"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1"/>
      <w:suff w:val="nothing"/>
      <w:lvlText w:val="%1%2　"/>
      <w:lvlJc w:val="left"/>
      <w:pPr>
        <w:ind w:left="0" w:firstLine="0"/>
      </w:pPr>
      <w:rPr>
        <w:rFonts w:ascii="黑体" w:eastAsia="黑体" w:hint="eastAsia"/>
        <w:b w:val="0"/>
        <w:i w:val="0"/>
        <w:sz w:val="21"/>
      </w:rPr>
    </w:lvl>
    <w:lvl w:ilvl="2">
      <w:start w:val="1"/>
      <w:numFmt w:val="decimal"/>
      <w:pStyle w:val="a2"/>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15:restartNumberingAfterBreak="0">
    <w:nsid w:val="6DBF04F4"/>
    <w:multiLevelType w:val="multilevel"/>
    <w:tmpl w:val="6DBF04F4"/>
    <w:lvl w:ilvl="0">
      <w:start w:val="1"/>
      <w:numFmt w:val="none"/>
      <w:pStyle w:val="a3"/>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5" w15:restartNumberingAfterBreak="0">
    <w:nsid w:val="7AFB3F0C"/>
    <w:multiLevelType w:val="multilevel"/>
    <w:tmpl w:val="7AFB3F0C"/>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2123917236">
    <w:abstractNumId w:val="3"/>
  </w:num>
  <w:num w:numId="2" w16cid:durableId="809786908">
    <w:abstractNumId w:val="2"/>
  </w:num>
  <w:num w:numId="3" w16cid:durableId="1663846344">
    <w:abstractNumId w:val="0"/>
  </w:num>
  <w:num w:numId="4" w16cid:durableId="805001801">
    <w:abstractNumId w:val="4"/>
  </w:num>
  <w:num w:numId="5" w16cid:durableId="350180210">
    <w:abstractNumId w:val="5"/>
  </w:num>
  <w:num w:numId="6" w16cid:durableId="121747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0MzA2MGVhNjlmZjJkNmU4NTAyZWJjMDA3ZTRhYmQifQ=="/>
  </w:docVars>
  <w:rsids>
    <w:rsidRoot w:val="00E971FD"/>
    <w:rsid w:val="000011F6"/>
    <w:rsid w:val="000751E8"/>
    <w:rsid w:val="000D4EE4"/>
    <w:rsid w:val="002539B6"/>
    <w:rsid w:val="0027337E"/>
    <w:rsid w:val="002858D4"/>
    <w:rsid w:val="002914A7"/>
    <w:rsid w:val="0029509E"/>
    <w:rsid w:val="002C53D6"/>
    <w:rsid w:val="002F4737"/>
    <w:rsid w:val="003517DD"/>
    <w:rsid w:val="003A6C07"/>
    <w:rsid w:val="003E764B"/>
    <w:rsid w:val="004231C3"/>
    <w:rsid w:val="00491C02"/>
    <w:rsid w:val="004C2F46"/>
    <w:rsid w:val="004E53CD"/>
    <w:rsid w:val="0051446F"/>
    <w:rsid w:val="00531F00"/>
    <w:rsid w:val="0059494A"/>
    <w:rsid w:val="005967AA"/>
    <w:rsid w:val="005F5021"/>
    <w:rsid w:val="00621F4C"/>
    <w:rsid w:val="006665B8"/>
    <w:rsid w:val="0067479A"/>
    <w:rsid w:val="00691F51"/>
    <w:rsid w:val="006A00A5"/>
    <w:rsid w:val="00700691"/>
    <w:rsid w:val="0072375D"/>
    <w:rsid w:val="00794835"/>
    <w:rsid w:val="007A6159"/>
    <w:rsid w:val="00885864"/>
    <w:rsid w:val="008A04C2"/>
    <w:rsid w:val="008C2743"/>
    <w:rsid w:val="008F3F68"/>
    <w:rsid w:val="00913946"/>
    <w:rsid w:val="00916E69"/>
    <w:rsid w:val="00983ACE"/>
    <w:rsid w:val="00A22AE6"/>
    <w:rsid w:val="00A31375"/>
    <w:rsid w:val="00AA0EF3"/>
    <w:rsid w:val="00B11C6C"/>
    <w:rsid w:val="00B33FFA"/>
    <w:rsid w:val="00B3579F"/>
    <w:rsid w:val="00B35CFD"/>
    <w:rsid w:val="00B825C4"/>
    <w:rsid w:val="00B970DD"/>
    <w:rsid w:val="00CB7563"/>
    <w:rsid w:val="00CB770A"/>
    <w:rsid w:val="00CE2C73"/>
    <w:rsid w:val="00D16CE1"/>
    <w:rsid w:val="00DB2E36"/>
    <w:rsid w:val="00DF1F3C"/>
    <w:rsid w:val="00E613C8"/>
    <w:rsid w:val="00E971FD"/>
    <w:rsid w:val="00EC02F9"/>
    <w:rsid w:val="00EC2549"/>
    <w:rsid w:val="00EC7E68"/>
    <w:rsid w:val="00F405FB"/>
    <w:rsid w:val="00F45DAC"/>
    <w:rsid w:val="00FB5ED4"/>
    <w:rsid w:val="02C93DA9"/>
    <w:rsid w:val="04724561"/>
    <w:rsid w:val="060C1AC2"/>
    <w:rsid w:val="06696E16"/>
    <w:rsid w:val="0AA27A5E"/>
    <w:rsid w:val="0F096081"/>
    <w:rsid w:val="0F516C13"/>
    <w:rsid w:val="12215FF1"/>
    <w:rsid w:val="17D17A59"/>
    <w:rsid w:val="1A5605E9"/>
    <w:rsid w:val="1C076266"/>
    <w:rsid w:val="1EB438B2"/>
    <w:rsid w:val="1F3C5FFF"/>
    <w:rsid w:val="223508EF"/>
    <w:rsid w:val="23702FA9"/>
    <w:rsid w:val="286338A8"/>
    <w:rsid w:val="34F5482E"/>
    <w:rsid w:val="35755CE7"/>
    <w:rsid w:val="3B3D5313"/>
    <w:rsid w:val="3B6E70E8"/>
    <w:rsid w:val="3D473009"/>
    <w:rsid w:val="3E0116C2"/>
    <w:rsid w:val="41DF1FD9"/>
    <w:rsid w:val="42186000"/>
    <w:rsid w:val="48EC7EB5"/>
    <w:rsid w:val="49BA174B"/>
    <w:rsid w:val="4A637651"/>
    <w:rsid w:val="4F8B7E11"/>
    <w:rsid w:val="51A11B6E"/>
    <w:rsid w:val="5A8262B5"/>
    <w:rsid w:val="614B7400"/>
    <w:rsid w:val="62943029"/>
    <w:rsid w:val="64BE7E02"/>
    <w:rsid w:val="65622F6B"/>
    <w:rsid w:val="69C67F6C"/>
    <w:rsid w:val="6B264A3A"/>
    <w:rsid w:val="6ECF628E"/>
    <w:rsid w:val="74F36EB3"/>
    <w:rsid w:val="76E32FFE"/>
    <w:rsid w:val="790A35D0"/>
    <w:rsid w:val="79342037"/>
    <w:rsid w:val="7A5A2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B9F54"/>
  <w15:docId w15:val="{BA4E1020-C820-4AF6-88FA-B88C3460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4"/>
    <w:next w:val="a4"/>
    <w:uiPriority w:val="9"/>
    <w:semiHidden/>
    <w:unhideWhenUsed/>
    <w:qFormat/>
    <w:pPr>
      <w:spacing w:beforeAutospacing="1" w:afterAutospacing="1"/>
      <w:jc w:val="left"/>
      <w:outlineLvl w:val="3"/>
    </w:pPr>
    <w:rPr>
      <w:rFonts w:ascii="宋体" w:eastAsia="宋体" w:hAnsi="宋体" w:cs="Times New Roman" w:hint="eastAsia"/>
      <w:b/>
      <w:bCs/>
      <w:kern w:val="0"/>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footer"/>
    <w:basedOn w:val="a4"/>
    <w:link w:val="a9"/>
    <w:uiPriority w:val="99"/>
    <w:unhideWhenUsed/>
    <w:qFormat/>
    <w:pPr>
      <w:tabs>
        <w:tab w:val="center" w:pos="4153"/>
        <w:tab w:val="right" w:pos="8306"/>
      </w:tabs>
      <w:snapToGrid w:val="0"/>
      <w:jc w:val="left"/>
    </w:pPr>
    <w:rPr>
      <w:sz w:val="18"/>
      <w:szCs w:val="18"/>
    </w:rPr>
  </w:style>
  <w:style w:type="paragraph" w:styleId="aa">
    <w:name w:val="header"/>
    <w:basedOn w:val="a4"/>
    <w:link w:val="ab"/>
    <w:uiPriority w:val="99"/>
    <w:unhideWhenUsed/>
    <w:qFormat/>
    <w:pPr>
      <w:pBdr>
        <w:bottom w:val="single" w:sz="6" w:space="1" w:color="auto"/>
      </w:pBdr>
      <w:tabs>
        <w:tab w:val="center" w:pos="4153"/>
        <w:tab w:val="right" w:pos="8306"/>
      </w:tabs>
      <w:snapToGrid w:val="0"/>
      <w:jc w:val="center"/>
    </w:pPr>
    <w:rPr>
      <w:sz w:val="18"/>
      <w:szCs w:val="18"/>
    </w:rPr>
  </w:style>
  <w:style w:type="table" w:styleId="ac">
    <w:name w:val="Table Grid"/>
    <w:basedOn w:val="a6"/>
    <w:uiPriority w:val="3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页眉 字符"/>
    <w:basedOn w:val="a5"/>
    <w:link w:val="aa"/>
    <w:uiPriority w:val="99"/>
    <w:qFormat/>
    <w:rPr>
      <w:sz w:val="18"/>
      <w:szCs w:val="18"/>
    </w:rPr>
  </w:style>
  <w:style w:type="character" w:customStyle="1" w:styleId="a9">
    <w:name w:val="页脚 字符"/>
    <w:basedOn w:val="a5"/>
    <w:link w:val="a8"/>
    <w:uiPriority w:val="99"/>
    <w:qFormat/>
    <w:rPr>
      <w:sz w:val="18"/>
      <w:szCs w:val="18"/>
    </w:rPr>
  </w:style>
  <w:style w:type="paragraph" w:customStyle="1" w:styleId="a2">
    <w:name w:val="标准文件_一级条标题"/>
    <w:basedOn w:val="a1"/>
    <w:next w:val="ad"/>
    <w:qFormat/>
    <w:pPr>
      <w:numPr>
        <w:ilvl w:val="2"/>
      </w:numPr>
      <w:spacing w:beforeLines="50" w:before="50" w:afterLines="50" w:after="50"/>
      <w:outlineLvl w:val="1"/>
    </w:pPr>
  </w:style>
  <w:style w:type="paragraph" w:customStyle="1" w:styleId="a1">
    <w:name w:val="标准文件_章标题"/>
    <w:next w:val="ad"/>
    <w:qFormat/>
    <w:pPr>
      <w:numPr>
        <w:ilvl w:val="1"/>
        <w:numId w:val="1"/>
      </w:numPr>
      <w:spacing w:beforeLines="100" w:before="100" w:afterLines="100" w:after="100"/>
      <w:jc w:val="both"/>
      <w:outlineLvl w:val="0"/>
    </w:pPr>
    <w:rPr>
      <w:rFonts w:ascii="黑体" w:eastAsia="黑体"/>
      <w:sz w:val="21"/>
    </w:rPr>
  </w:style>
  <w:style w:type="paragraph" w:customStyle="1" w:styleId="ad">
    <w:name w:val="标准文件_段"/>
    <w:qFormat/>
    <w:pPr>
      <w:autoSpaceDE w:val="0"/>
      <w:autoSpaceDN w:val="0"/>
      <w:ind w:firstLineChars="200" w:firstLine="200"/>
      <w:jc w:val="both"/>
    </w:pPr>
    <w:rPr>
      <w:rFonts w:ascii="宋体"/>
      <w:sz w:val="21"/>
    </w:rPr>
  </w:style>
  <w:style w:type="paragraph" w:styleId="ae">
    <w:name w:val="List Paragraph"/>
    <w:basedOn w:val="a4"/>
    <w:uiPriority w:val="99"/>
    <w:qFormat/>
    <w:pPr>
      <w:ind w:firstLineChars="200" w:firstLine="420"/>
    </w:pPr>
  </w:style>
  <w:style w:type="paragraph" w:customStyle="1" w:styleId="af">
    <w:name w:val="正文表标题"/>
    <w:next w:val="af0"/>
    <w:qFormat/>
    <w:pPr>
      <w:spacing w:beforeLines="50" w:afterLines="50"/>
      <w:ind w:left="4537"/>
      <w:jc w:val="center"/>
    </w:pPr>
    <w:rPr>
      <w:rFonts w:ascii="黑体" w:eastAsia="黑体"/>
      <w:sz w:val="21"/>
    </w:rPr>
  </w:style>
  <w:style w:type="paragraph" w:customStyle="1" w:styleId="af0">
    <w:name w:val="段"/>
    <w:qFormat/>
    <w:pPr>
      <w:tabs>
        <w:tab w:val="center" w:pos="4201"/>
        <w:tab w:val="right" w:leader="dot" w:pos="9298"/>
      </w:tabs>
      <w:autoSpaceDE w:val="0"/>
      <w:autoSpaceDN w:val="0"/>
      <w:ind w:firstLineChars="200" w:firstLine="420"/>
      <w:jc w:val="both"/>
    </w:pPr>
    <w:rPr>
      <w:rFonts w:ascii="宋体" w:hAnsi="Calibri"/>
    </w:rPr>
  </w:style>
  <w:style w:type="paragraph" w:customStyle="1" w:styleId="a0">
    <w:name w:val="标准文件_正文表标题"/>
    <w:next w:val="ad"/>
    <w:qFormat/>
    <w:pPr>
      <w:numPr>
        <w:numId w:val="2"/>
      </w:numPr>
      <w:tabs>
        <w:tab w:val="left" w:pos="0"/>
      </w:tabs>
      <w:spacing w:beforeLines="50" w:before="50" w:afterLines="50" w:after="50"/>
      <w:jc w:val="center"/>
    </w:pPr>
    <w:rPr>
      <w:rFonts w:ascii="黑体" w:eastAsia="黑体"/>
      <w:sz w:val="21"/>
    </w:rPr>
  </w:style>
  <w:style w:type="paragraph" w:customStyle="1" w:styleId="a">
    <w:name w:val="列项——（一级）"/>
    <w:qFormat/>
    <w:pPr>
      <w:widowControl w:val="0"/>
      <w:numPr>
        <w:numId w:val="3"/>
      </w:numPr>
      <w:jc w:val="both"/>
    </w:pPr>
    <w:rPr>
      <w:rFonts w:ascii="宋体"/>
      <w:sz w:val="21"/>
    </w:rPr>
  </w:style>
  <w:style w:type="paragraph" w:customStyle="1" w:styleId="a3">
    <w:name w:val="标准文件_注："/>
    <w:next w:val="ad"/>
    <w:qFormat/>
    <w:pPr>
      <w:widowControl w:val="0"/>
      <w:numPr>
        <w:numId w:val="4"/>
      </w:numPr>
      <w:autoSpaceDE w:val="0"/>
      <w:autoSpaceDN w:val="0"/>
      <w:jc w:val="both"/>
    </w:pPr>
    <w:rPr>
      <w:rFonts w:ascii="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632</Words>
  <Characters>3608</Characters>
  <Application>Microsoft Office Word</Application>
  <DocSecurity>0</DocSecurity>
  <Lines>30</Lines>
  <Paragraphs>8</Paragraphs>
  <ScaleCrop>false</ScaleCrop>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daiyijie</dc:creator>
  <cp:lastModifiedBy>杜 静怡</cp:lastModifiedBy>
  <cp:revision>10</cp:revision>
  <dcterms:created xsi:type="dcterms:W3CDTF">2023-07-27T03:03:00Z</dcterms:created>
  <dcterms:modified xsi:type="dcterms:W3CDTF">2023-08-09T10:37:00Z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766C277FA1194CD1BD71351547E8EB99</vt:lpwstr>
  </property>
</Properties>
</file>