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4EF9F">
      <w:pPr>
        <w:pStyle w:val="134"/>
        <w:framePr w:wrap="around"/>
        <w:rPr>
          <w:rFonts w:eastAsia="宋体"/>
        </w:rPr>
      </w:pPr>
      <w:bookmarkStart w:id="0" w:name="_Toc405378319"/>
      <w:bookmarkStart w:id="1" w:name="_Toc404949453"/>
      <w:bookmarkStart w:id="2" w:name="_Toc404949484"/>
      <w:r>
        <w:rPr>
          <w:rFonts w:ascii="Times New Roman"/>
        </w:rPr>
        <w:t>ICS</w:t>
      </w:r>
      <w:r>
        <w:rPr>
          <w:rFonts w:hint="eastAsia" w:ascii="MS Gothic" w:hAnsi="MS Gothic" w:eastAsia="MS Gothic" w:cs="MS Gothic"/>
        </w:rPr>
        <w:t> </w:t>
      </w:r>
      <w:r>
        <w:rPr>
          <w:rFonts w:hint="eastAsia" w:eastAsia="宋体"/>
        </w:rPr>
        <w:t>67.160.10</w:t>
      </w:r>
    </w:p>
    <w:p w14:paraId="5E72EB4E">
      <w:pPr>
        <w:pStyle w:val="134"/>
        <w:framePr w:wrap="around"/>
      </w:pPr>
      <w:r>
        <w:t xml:space="preserve">CCS </w:t>
      </w:r>
      <w:r>
        <w:rPr>
          <w:rFonts w:hint="eastAsia"/>
        </w:rPr>
        <w:t>X 61</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4"/>
      </w:tblGrid>
      <w:tr w14:paraId="695EE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167C3E6B">
            <w:pPr>
              <w:pStyle w:val="134"/>
              <w:framePr w:wrap="around"/>
            </w:pPr>
            <w:r>
              <mc:AlternateContent>
                <mc:Choice Requires="wps">
                  <w:drawing>
                    <wp:anchor distT="0" distB="0" distL="114300" distR="114300" simplePos="0" relativeHeight="251662336" behindDoc="1" locked="0" layoutInCell="1" allowOverlap="1">
                      <wp:simplePos x="0" y="0"/>
                      <wp:positionH relativeFrom="column">
                        <wp:posOffset>-66675</wp:posOffset>
                      </wp:positionH>
                      <wp:positionV relativeFrom="paragraph">
                        <wp:posOffset>0</wp:posOffset>
                      </wp:positionV>
                      <wp:extent cx="866775" cy="198120"/>
                      <wp:effectExtent l="0" t="3810" r="4445" b="0"/>
                      <wp:wrapNone/>
                      <wp:docPr id="6" name="BAH"/>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BAH" o:spid="_x0000_s1026" o:spt="1" style="position:absolute;left:0pt;margin-left:-5.25pt;margin-top:0pt;height:15.6pt;width:68.25pt;z-index:-251654144;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K4v7NUAAAAHAQAADwAAAAAAAAABACAAAAAi&#10;AAAAZHJzL2Rvd25yZXYueG1sUEsBAhQAFAAAAAgAh07iQMhJMdUNAgAAIAQAAA4AAAAAAAAAAQAg&#10;AAAAJAEAAGRycy9lMm9Eb2MueG1sUEsFBgAAAAAGAAYAWQEAAKMFAAAAAA==&#10;">
                      <v:fill on="t" focussize="0,0"/>
                      <v:stroke on="f"/>
                      <v:imagedata o:title=""/>
                      <o:lock v:ext="edit" aspectratio="f"/>
                    </v:rect>
                  </w:pict>
                </mc:Fallback>
              </mc:AlternateContent>
            </w:r>
            <w:r>
              <w:fldChar w:fldCharType="begin">
                <w:ffData>
                  <w:name w:val="BAH"/>
                  <w:enabled/>
                  <w:calcOnExit w:val="0"/>
                  <w:textInput/>
                </w:ffData>
              </w:fldChar>
            </w:r>
            <w:bookmarkStart w:id="3" w:name="BAH"/>
            <w:r>
              <w:instrText xml:space="preserve"> FORMTEXT </w:instrText>
            </w:r>
            <w:r>
              <w:fldChar w:fldCharType="separate"/>
            </w:r>
            <w:r>
              <w:rPr>
                <w:rFonts w:hint="eastAsia" w:ascii="MS Gothic" w:hAnsi="MS Gothic" w:eastAsia="MS Gothic" w:cs="MS Gothic"/>
              </w:rPr>
              <w:t>     </w:t>
            </w:r>
            <w:r>
              <w:fldChar w:fldCharType="end"/>
            </w:r>
            <w:bookmarkEnd w:id="3"/>
          </w:p>
        </w:tc>
      </w:tr>
    </w:tbl>
    <w:p w14:paraId="6E57000A">
      <w:pPr>
        <w:pStyle w:val="77"/>
        <w:framePr w:w="4707" w:wrap="around" w:hAnchor="page" w:x="6264"/>
      </w:pPr>
      <w:bookmarkStart w:id="4" w:name="c1"/>
      <w:bookmarkStart w:id="5" w:name="c2"/>
      <w:r>
        <w:rPr>
          <w:rFonts w:hint="eastAsia"/>
        </w:rPr>
        <w:t>T/CBJ</w:t>
      </w:r>
      <w:r>
        <w:t xml:space="preserve"> </w:t>
      </w:r>
      <w:r>
        <w:fldChar w:fldCharType="begin">
          <w:ffData>
            <w:name w:val="c1"/>
            <w:enabled/>
            <w:calcOnExit w:val="0"/>
            <w:entryMacro w:val="ShowHelp15"/>
            <w:textInput>
              <w:maxLength w:val="2"/>
            </w:textInput>
          </w:ffData>
        </w:fldChar>
      </w:r>
      <w:r>
        <w:instrText xml:space="preserve"> FORMTEXT </w:instrText>
      </w:r>
      <w:r>
        <w:fldChar w:fldCharType="separate"/>
      </w:r>
      <w:r>
        <w:t>  </w:t>
      </w:r>
      <w:r>
        <w:fldChar w:fldCharType="end"/>
      </w:r>
      <w:bookmarkEnd w:id="4"/>
    </w:p>
    <w:p w14:paraId="18EDB0AD">
      <w:pPr>
        <w:pStyle w:val="121"/>
        <w:framePr w:wrap="around"/>
      </w:pPr>
      <w:r>
        <w:rPr>
          <w:b/>
        </w:rPr>
        <w:fldChar w:fldCharType="begin">
          <w:ffData>
            <w:enabled/>
            <w:calcOnExit w:val="0"/>
            <w:textInput/>
          </w:ffData>
        </w:fldChar>
      </w:r>
      <w:r>
        <w:rPr>
          <w:b/>
        </w:rPr>
        <w:instrText xml:space="preserve"> FORMTEXT </w:instrText>
      </w:r>
      <w:r>
        <w:rPr>
          <w:b/>
        </w:rPr>
        <w:fldChar w:fldCharType="separate"/>
      </w:r>
      <w:r>
        <w:rPr>
          <w:rFonts w:hint="eastAsia" w:ascii="MS Gothic" w:hAnsi="MS Gothic" w:eastAsia="宋体" w:cs="MS Gothic"/>
          <w:b/>
        </w:rPr>
        <w:t>团体</w:t>
      </w:r>
      <w:r>
        <w:rPr>
          <w:b/>
        </w:rPr>
        <w:fldChar w:fldCharType="end"/>
      </w:r>
      <w:bookmarkEnd w:id="5"/>
      <w:r>
        <w:rPr>
          <w:rFonts w:hint="eastAsia"/>
        </w:rPr>
        <w:t>标准</w:t>
      </w:r>
    </w:p>
    <w:p w14:paraId="270D937E">
      <w:pPr>
        <w:pStyle w:val="58"/>
        <w:framePr w:wrap="around"/>
      </w:pPr>
      <w:r>
        <w:rPr>
          <w:rFonts w:hint="eastAsia" w:ascii="Times New Roman"/>
        </w:rPr>
        <w:t>T/CBJ</w:t>
      </w:r>
      <w:r>
        <w:rPr>
          <w:rFonts w:ascii="Times New Roman"/>
        </w:rPr>
        <w:t xml:space="preserve"> </w:t>
      </w:r>
      <w:bookmarkStart w:id="6" w:name="StdNo1"/>
      <w:r>
        <w:fldChar w:fldCharType="begin">
          <w:ffData>
            <w:name w:val="StdNo1"/>
            <w:enabled/>
            <w:calcOnExit w:val="0"/>
            <w:textInput>
              <w:default w:val="0000"/>
            </w:textInput>
          </w:ffData>
        </w:fldChar>
      </w:r>
      <w:r>
        <w:instrText xml:space="preserve">FORMTEXT</w:instrText>
      </w:r>
      <w:r>
        <w:fldChar w:fldCharType="separate"/>
      </w:r>
      <w:r>
        <w:t>0000</w:t>
      </w:r>
      <w:r>
        <w:fldChar w:fldCharType="end"/>
      </w:r>
      <w:bookmarkEnd w:id="6"/>
      <w:r>
        <w:t>—20</w:t>
      </w:r>
      <w:r>
        <w:rPr>
          <w:rFonts w:hint="eastAsia"/>
        </w:rPr>
        <w:t>XX</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1A96C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1BBDB96F">
            <w:pPr>
              <w:pStyle w:val="87"/>
              <w:framePr w:wrap="around"/>
            </w:pPr>
            <w:bookmarkStart w:id="7" w:name="DT"/>
            <w:r>
              <w:fldChar w:fldCharType="begin">
                <w:ffData>
                  <w:name w:val="DT"/>
                  <w:enabled/>
                  <w:calcOnExit w:val="0"/>
                  <w:textInput/>
                </w:ffData>
              </w:fldChar>
            </w:r>
            <w:r>
              <w:instrText xml:space="preserve"> FORMTEXT </w:instrText>
            </w:r>
            <w:r>
              <w:fldChar w:fldCharType="separate"/>
            </w:r>
            <w:r>
              <w:rPr>
                <w:rFonts w:hint="eastAsia" w:ascii="MS Gothic" w:hAnsi="MS Gothic" w:eastAsia="MS Gothic" w:cs="MS Gothic"/>
              </w:rPr>
              <w:t>     </w:t>
            </w:r>
            <w:r>
              <w:fldChar w:fldCharType="end"/>
            </w:r>
            <w:bookmarkEnd w:id="7"/>
          </w:p>
        </w:tc>
      </w:tr>
    </w:tbl>
    <w:p w14:paraId="605C3CCE">
      <w:pPr>
        <w:pStyle w:val="58"/>
        <w:framePr w:wrap="around"/>
      </w:pPr>
    </w:p>
    <w:p w14:paraId="0CEF8574">
      <w:pPr>
        <w:pStyle w:val="58"/>
        <w:framePr w:wrap="around"/>
      </w:pPr>
    </w:p>
    <w:p w14:paraId="0A16231F">
      <w:pPr>
        <w:pStyle w:val="89"/>
        <w:framePr w:wrap="around"/>
        <w:rPr>
          <w:rFonts w:hint="eastAsia" w:eastAsia="黑体"/>
          <w:lang w:val="en-US" w:eastAsia="zh-CN"/>
        </w:rPr>
      </w:pPr>
      <w:r>
        <w:rPr>
          <w:rFonts w:hint="eastAsia"/>
        </w:rPr>
        <w:t>白酒企业绿色供应链管理评价</w:t>
      </w:r>
      <w:r>
        <w:rPr>
          <w:rFonts w:hint="eastAsia"/>
          <w:lang w:val="en-US" w:eastAsia="zh-CN"/>
        </w:rPr>
        <w:t>规范</w:t>
      </w:r>
    </w:p>
    <w:p w14:paraId="4671B4B8">
      <w:pPr>
        <w:pStyle w:val="90"/>
        <w:framePr w:wrap="around"/>
        <w:rPr>
          <w:highlight w:val="yellow"/>
        </w:rPr>
      </w:pPr>
      <w:bookmarkStart w:id="8" w:name="_Hlk97294906"/>
      <w:r>
        <w:rPr>
          <w:rFonts w:hint="eastAsia"/>
        </w:rPr>
        <w:t>Green Supply Chain Management Assessment Guidelines for</w:t>
      </w:r>
      <w:r>
        <w:t xml:space="preserve"> Liquor industry</w:t>
      </w:r>
    </w:p>
    <w:bookmarkEnd w:id="8"/>
    <w:p w14:paraId="12C96D3E">
      <w:pPr>
        <w:pStyle w:val="91"/>
        <w:framePr w:wrap="around"/>
      </w:pPr>
      <w:bookmarkStart w:id="9" w:name="YZBS"/>
      <w:r>
        <w:fldChar w:fldCharType="begin">
          <w:ffData>
            <w:name w:val="YZBS"/>
            <w:enabled/>
            <w:calcOnExit w:val="0"/>
            <w:textInput>
              <w:default w:val="点击此处添加与国际标准一致性程度的标识"/>
            </w:textInput>
          </w:ffData>
        </w:fldChar>
      </w:r>
      <w:r>
        <w:instrText xml:space="preserve"> FORMTEXT </w:instrText>
      </w:r>
      <w:r>
        <w:fldChar w:fldCharType="separate"/>
      </w:r>
      <w:r>
        <w:rPr>
          <w:rFonts w:hint="eastAsia"/>
        </w:rPr>
        <w:t>点击此处添加与国际标准一致性程度的标识</w:t>
      </w:r>
      <w:r>
        <w:fldChar w:fldCharType="end"/>
      </w:r>
      <w:bookmarkEnd w:id="9"/>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14:paraId="249F3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6231F4BE">
            <w:pPr>
              <w:pStyle w:val="92"/>
              <w:framePr w:wrap="around"/>
            </w:pPr>
            <w:r>
              <mc:AlternateContent>
                <mc:Choice Requires="wps">
                  <w:drawing>
                    <wp:anchor distT="0" distB="0" distL="114300" distR="114300" simplePos="0" relativeHeight="251661312" behindDoc="1" locked="1" layoutInCell="1" allowOverlap="1">
                      <wp:simplePos x="0" y="0"/>
                      <wp:positionH relativeFrom="column">
                        <wp:posOffset>2200910</wp:posOffset>
                      </wp:positionH>
                      <wp:positionV relativeFrom="paragraph">
                        <wp:posOffset>4281805</wp:posOffset>
                      </wp:positionV>
                      <wp:extent cx="1905000" cy="254000"/>
                      <wp:effectExtent l="4445" t="3175" r="0" b="0"/>
                      <wp:wrapNone/>
                      <wp:docPr id="5"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337.15pt;height:20pt;width:150pt;z-index:-251655168;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X9+DXAAAACwEAAA8AAAAAAAAAAQAgAAAAIgAA&#10;AGRycy9kb3ducmV2LnhtbFBLAQIUABQAAAAIAIdO4kBLEu/tCQIAACAEAAAOAAAAAAAAAAEAIAAA&#10;ACYBAABkcnMvZTJvRG9jLnhtbFBLBQYAAAAABgAGAFkBAAChBQAAAAA=&#10;">
                      <v:fill on="t" focussize="0,0"/>
                      <v:stroke on="f"/>
                      <v:imagedata o:title=""/>
                      <o:lock v:ext="edit" aspectratio="f"/>
                      <w10:anchorlock/>
                    </v:rect>
                  </w:pict>
                </mc:Fallback>
              </mc:AlternateContent>
            </w:r>
            <w:r>
              <w:rPr>
                <w:rFonts w:hint="eastAsia"/>
              </w:rPr>
              <w:t>(征求意见稿)</w:t>
            </w:r>
          </w:p>
        </w:tc>
      </w:tr>
      <w:tr w14:paraId="504FD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14:paraId="4F342C53">
            <w:pPr>
              <w:pStyle w:val="93"/>
              <w:framePr w:wrap="around"/>
            </w:pPr>
          </w:p>
        </w:tc>
      </w:tr>
    </w:tbl>
    <w:p w14:paraId="5EE077D6">
      <w:pPr>
        <w:pStyle w:val="141"/>
        <w:framePr w:wrap="around" w:hAnchor="page" w:y="14140"/>
      </w:pPr>
      <w:r>
        <w:rPr>
          <w:rFonts w:ascii="黑体"/>
        </w:rPr>
        <w:t>20</w:t>
      </w:r>
      <w:r>
        <w:rPr>
          <w:rFonts w:hint="eastAsia" w:ascii="黑体"/>
        </w:rPr>
        <w:t>XX</w:t>
      </w:r>
      <w:r>
        <w:t xml:space="preserve"> </w:t>
      </w:r>
      <w:r>
        <w:rPr>
          <w:rFonts w:ascii="黑体"/>
        </w:rPr>
        <w:t>-</w:t>
      </w:r>
      <w:r>
        <w:rPr>
          <w:rFonts w:hint="eastAsia" w:ascii="黑体"/>
        </w:rPr>
        <w:t xml:space="preserve"> XX</w:t>
      </w:r>
      <w:r>
        <w:t xml:space="preserve"> </w:t>
      </w:r>
      <w:r>
        <w:rPr>
          <w:rFonts w:ascii="黑体"/>
        </w:rPr>
        <w:t>-</w:t>
      </w:r>
      <w:r>
        <w:t xml:space="preserve"> </w:t>
      </w:r>
      <w:r>
        <w:rPr>
          <w:rFonts w:hint="eastAsia" w:ascii="黑体"/>
        </w:rPr>
        <w:t>XX</w:t>
      </w:r>
      <w:r>
        <w:rPr>
          <w:rFonts w:hint="eastAsia"/>
        </w:rPr>
        <w:t>发布</w:t>
      </w:r>
      <w:r>
        <mc:AlternateContent>
          <mc:Choice Requires="wps">
            <w:drawing>
              <wp:anchor distT="0" distB="0" distL="114300" distR="114300" simplePos="0" relativeHeight="251663360" behindDoc="0" locked="1" layoutInCell="1" allowOverlap="1">
                <wp:simplePos x="0" y="0"/>
                <wp:positionH relativeFrom="column">
                  <wp:posOffset>0</wp:posOffset>
                </wp:positionH>
                <wp:positionV relativeFrom="page">
                  <wp:posOffset>9275445</wp:posOffset>
                </wp:positionV>
                <wp:extent cx="6120130" cy="0"/>
                <wp:effectExtent l="5080" t="7620" r="8890" b="11430"/>
                <wp:wrapNone/>
                <wp:docPr id="4" name="直线 15"/>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0pt;margin-top:730.35pt;height:0pt;width:481.9pt;mso-position-vertical-relative:page;z-index:251663360;mso-width-relative:page;mso-height-relative:page;" filled="f" stroked="t" coordsize="21600,21600" o:gfxdata="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O0251QAAAAoBAAAPAAAAAAAAAAEAIAAA&#10;ACIAAABkcnMvZG93bnJldi54bWxQSwECFAAUAAAACACHTuJA9sbDKdYBAACiAwAADgAAAAAAAAAB&#10;ACAAAAAkAQAAZHJzL2Uyb0RvYy54bWxQSwUGAAAAAAYABgBZAQAAbAUAAAAA&#10;">
                <v:fill on="f" focussize="0,0"/>
                <v:stroke color="#000000" joinstyle="round"/>
                <v:imagedata o:title=""/>
                <o:lock v:ext="edit" aspectratio="f"/>
                <w10:anchorlock/>
              </v:line>
            </w:pict>
          </mc:Fallback>
        </mc:AlternateContent>
      </w:r>
    </w:p>
    <w:p w14:paraId="2BD3544F">
      <w:pPr>
        <w:pStyle w:val="142"/>
        <w:framePr w:wrap="around" w:hAnchor="page" w:y="14140"/>
      </w:pPr>
      <w:r>
        <w:rPr>
          <w:rFonts w:ascii="黑体"/>
        </w:rPr>
        <w:t>20</w:t>
      </w:r>
      <w:r>
        <w:rPr>
          <w:rFonts w:hint="eastAsia" w:ascii="黑体"/>
        </w:rPr>
        <w:t xml:space="preserve">XX </w:t>
      </w:r>
      <w:r>
        <w:rPr>
          <w:rFonts w:ascii="黑体"/>
        </w:rPr>
        <w:t>-</w:t>
      </w:r>
      <w:r>
        <w:t xml:space="preserve"> </w:t>
      </w:r>
      <w:r>
        <w:rPr>
          <w:rFonts w:hint="eastAsia" w:ascii="黑体"/>
        </w:rPr>
        <w:t>XX</w:t>
      </w:r>
      <w:r>
        <w:t xml:space="preserve"> </w:t>
      </w:r>
      <w:r>
        <w:rPr>
          <w:rFonts w:ascii="黑体"/>
        </w:rPr>
        <w:t>-</w:t>
      </w:r>
      <w:r>
        <w:t xml:space="preserve"> </w:t>
      </w:r>
      <w:r>
        <w:rPr>
          <w:rFonts w:hint="eastAsia" w:ascii="黑体"/>
        </w:rPr>
        <w:t>XX</w:t>
      </w:r>
      <w:r>
        <w:t xml:space="preserve"> </w:t>
      </w:r>
      <w:r>
        <w:rPr>
          <w:rFonts w:hint="eastAsia"/>
        </w:rPr>
        <w:t>实施</w:t>
      </w:r>
    </w:p>
    <w:p w14:paraId="62D07166">
      <w:pPr>
        <w:pStyle w:val="122"/>
        <w:framePr w:wrap="around"/>
      </w:pPr>
      <w:bookmarkStart w:id="10" w:name="fm"/>
      <w:r>
        <w:rPr>
          <w:w w:val="100"/>
        </w:rPr>
        <mc:AlternateContent>
          <mc:Choice Requires="wps">
            <w:drawing>
              <wp:anchor distT="0" distB="0" distL="114300" distR="114300" simplePos="0" relativeHeight="251660288" behindDoc="1" locked="0" layoutInCell="1" allowOverlap="1">
                <wp:simplePos x="0" y="0"/>
                <wp:positionH relativeFrom="column">
                  <wp:posOffset>1810385</wp:posOffset>
                </wp:positionH>
                <wp:positionV relativeFrom="paragraph">
                  <wp:posOffset>-3942715</wp:posOffset>
                </wp:positionV>
                <wp:extent cx="1270000" cy="304800"/>
                <wp:effectExtent l="3175" t="0" r="3175" b="3175"/>
                <wp:wrapNone/>
                <wp:docPr id="3"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LB" o:spid="_x0000_s1026" o:spt="1" style="position:absolute;left:0pt;margin-left:142.55pt;margin-top:-310.45pt;height:24pt;width:100pt;z-index:-251656192;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Xu1tkAAAANAQAADwAAAAAAAAABACAAAAAi&#10;AAAAZHJzL2Rvd25yZXYueG1sUEsBAhQAFAAAAAgAh07iQBxxlwgJAgAAIAQAAA4AAAAAAAAAAQAg&#10;AAAAKAEAAGRycy9lMm9Eb2MueG1sUEsFBgAAAAAGAAYAWQEAAKMFAAAAAA==&#10;">
                <v:fill on="t" focussize="0,0"/>
                <v:stroke on="f"/>
                <v:imagedata o:title=""/>
                <o:lock v:ext="edit" aspectratio="f"/>
              </v:rect>
            </w:pict>
          </mc:Fallback>
        </mc:AlternateContent>
      </w:r>
      <w:r>
        <w:rPr>
          <w:w w:val="100"/>
        </w:rPr>
        <mc:AlternateContent>
          <mc:Choice Requires="wps">
            <w:drawing>
              <wp:anchor distT="0" distB="0" distL="114300" distR="114300" simplePos="0" relativeHeight="251659264" behindDoc="1" locked="0" layoutInCell="1" allowOverlap="1">
                <wp:simplePos x="0" y="0"/>
                <wp:positionH relativeFrom="column">
                  <wp:posOffset>4413885</wp:posOffset>
                </wp:positionH>
                <wp:positionV relativeFrom="paragraph">
                  <wp:posOffset>-7435215</wp:posOffset>
                </wp:positionV>
                <wp:extent cx="1143000" cy="228600"/>
                <wp:effectExtent l="0" t="0" r="3175" b="0"/>
                <wp:wrapNone/>
                <wp:docPr id="2"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47.55pt;margin-top:-585.45pt;height:18pt;width:90pt;z-index:-251657216;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JihHaAAAADwEAAA8AAAAAAAAAAQAgAAAA&#10;IgAAAGRycy9kb3ducmV2LnhtbFBLAQIUABQAAAAIAIdO4kBdDl7+CQIAACAEAAAOAAAAAAAAAAEA&#10;IAAAACkBAABkcnMvZTJvRG9jLnhtbFBLBQYAAAAABgAGAFkBAACkBQAAAAA=&#10;">
                <v:fill on="t" focussize="0,0"/>
                <v:stroke on="f"/>
                <v:imagedata o:title=""/>
                <o:lock v:ext="edit" aspectratio="f"/>
              </v:rect>
            </w:pict>
          </mc:Fallback>
        </mc:AlternateContent>
      </w:r>
      <w:r>
        <w:rPr>
          <w:w w:val="100"/>
        </w:rPr>
        <mc:AlternateContent>
          <mc:Choice Requires="wps">
            <w:drawing>
              <wp:anchor distT="0" distB="0" distL="114300" distR="114300" simplePos="0" relativeHeight="251664384" behindDoc="0" locked="0" layoutInCell="1" allowOverlap="1">
                <wp:simplePos x="0" y="0"/>
                <wp:positionH relativeFrom="column">
                  <wp:posOffset>-464820</wp:posOffset>
                </wp:positionH>
                <wp:positionV relativeFrom="paragraph">
                  <wp:posOffset>-7021195</wp:posOffset>
                </wp:positionV>
                <wp:extent cx="6120130" cy="0"/>
                <wp:effectExtent l="13970" t="13970" r="9525" b="5080"/>
                <wp:wrapNone/>
                <wp:docPr id="1" name="直线 16"/>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6pt;margin-top:-552.85pt;height:0pt;width:481.9pt;z-index:251664384;mso-width-relative:page;mso-height-relative:page;" filled="f" stroked="t" coordsize="21600,21600" o:gfxdata="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7JZGg2AAAAA8BAAAPAAAAAAAAAAEA&#10;IAAAACIAAABkcnMvZG93bnJldi54bWxQSwECFAAUAAAACACHTuJAeSPU6tYBAACiAwAADgAAAAAA&#10;AAABACAAAAAnAQAAZHJzL2Uyb0RvYy54bWxQSwUGAAAAAAYABgBZAQAAbwUAAAAA&#10;">
                <v:fill on="f" focussize="0,0"/>
                <v:stroke color="#000000" joinstyle="round"/>
                <v:imagedata o:title=""/>
                <o:lock v:ext="edit" aspectratio="f"/>
              </v:line>
            </w:pict>
          </mc:Fallback>
        </mc:AlternateContent>
      </w:r>
      <w:bookmarkEnd w:id="10"/>
      <w:r>
        <w:rPr>
          <w:rFonts w:hint="eastAsia"/>
        </w:rPr>
        <w:t>中国酒业协会</w:t>
      </w:r>
      <w:r>
        <w:t>   </w:t>
      </w:r>
      <w:r>
        <w:rPr>
          <w:rStyle w:val="84"/>
          <w:rFonts w:hint="eastAsia"/>
        </w:rPr>
        <w:t>发布</w:t>
      </w:r>
    </w:p>
    <w:p w14:paraId="5F5A76A5">
      <w:pPr>
        <w:pStyle w:val="26"/>
        <w:sectPr>
          <w:footerReference r:id="rId3" w:type="default"/>
          <w:pgSz w:w="11906" w:h="16838"/>
          <w:pgMar w:top="567" w:right="850" w:bottom="1134" w:left="1418" w:header="0" w:footer="0" w:gutter="0"/>
          <w:pgNumType w:fmt="upperRoman" w:start="1"/>
          <w:cols w:space="720" w:num="1"/>
          <w:docGrid w:type="lines" w:linePitch="312" w:charSpace="0"/>
        </w:sectPr>
      </w:pPr>
    </w:p>
    <w:p w14:paraId="1238C531">
      <w:pPr>
        <w:pStyle w:val="123"/>
        <w:rPr>
          <w:rFonts w:ascii="Times New Roman"/>
        </w:rPr>
      </w:pPr>
      <w:bookmarkStart w:id="11" w:name="_Toc11639"/>
      <w:bookmarkStart w:id="12" w:name="_Toc24782"/>
      <w:bookmarkStart w:id="13" w:name="_Toc167095748"/>
      <w:r>
        <w:rPr>
          <w:rFonts w:hint="eastAsia" w:ascii="Times New Roman"/>
        </w:rPr>
        <w:t>目</w:t>
      </w:r>
      <w:r>
        <w:rPr>
          <w:rFonts w:ascii="Times New Roman"/>
        </w:rPr>
        <w:t>  </w:t>
      </w:r>
      <w:r>
        <w:rPr>
          <w:rFonts w:hint="eastAsia" w:ascii="Times New Roman"/>
        </w:rPr>
        <w:t>录</w:t>
      </w:r>
      <w:bookmarkEnd w:id="11"/>
      <w:bookmarkEnd w:id="12"/>
      <w:bookmarkEnd w:id="13"/>
    </w:p>
    <w:sdt>
      <w:sdtPr>
        <w:rPr>
          <w:rFonts w:ascii="宋体"/>
          <w:b/>
          <w:bCs/>
          <w:szCs w:val="21"/>
          <w:lang w:val="zh-CN"/>
        </w:rPr>
        <w:id w:val="41337758"/>
        <w:docPartObj>
          <w:docPartGallery w:val="Table of Contents"/>
          <w:docPartUnique/>
        </w:docPartObj>
      </w:sdtPr>
      <w:sdtEndPr>
        <w:rPr>
          <w:rFonts w:ascii="宋体"/>
          <w:b w:val="0"/>
          <w:bCs w:val="0"/>
          <w:szCs w:val="21"/>
          <w:lang w:val="zh-CN"/>
        </w:rPr>
      </w:sdtEndPr>
      <w:sdtContent>
        <w:p w14:paraId="06D41DD3">
          <w:pPr>
            <w:rPr>
              <w:bCs/>
              <w:lang w:val="zh-CN"/>
            </w:rPr>
          </w:pPr>
          <w:r>
            <w:fldChar w:fldCharType="begin"/>
          </w:r>
          <w:r>
            <w:instrText xml:space="preserve"> TOC \o "1-3" \h \z \u </w:instrText>
          </w:r>
          <w:r>
            <w:fldChar w:fldCharType="separate"/>
          </w:r>
        </w:p>
        <w:p w14:paraId="6978F6F8">
          <w:pPr>
            <w:pStyle w:val="22"/>
            <w:tabs>
              <w:tab w:val="right" w:leader="dot" w:pos="9354"/>
              <w:tab w:val="clear" w:pos="9241"/>
            </w:tabs>
            <w:spacing w:before="78" w:after="78"/>
          </w:pPr>
          <w:r>
            <w:fldChar w:fldCharType="begin"/>
          </w:r>
          <w:r>
            <w:instrText xml:space="preserve"> HYPERLINK \l "_Toc11639" </w:instrText>
          </w:r>
          <w:r>
            <w:fldChar w:fldCharType="separate"/>
          </w:r>
          <w:r>
            <w:rPr>
              <w:rFonts w:hint="eastAsia" w:ascii="Times New Roman"/>
            </w:rPr>
            <w:t>目</w:t>
          </w:r>
          <w:r>
            <w:rPr>
              <w:rFonts w:ascii="Times New Roman"/>
            </w:rPr>
            <w:t>  </w:t>
          </w:r>
          <w:r>
            <w:rPr>
              <w:rFonts w:hint="eastAsia" w:ascii="Times New Roman"/>
            </w:rPr>
            <w:t>录</w:t>
          </w:r>
          <w:r>
            <w:tab/>
          </w:r>
          <w:r>
            <w:fldChar w:fldCharType="begin"/>
          </w:r>
          <w:r>
            <w:instrText xml:space="preserve"> PAGEREF _Toc11639 \h </w:instrText>
          </w:r>
          <w:r>
            <w:fldChar w:fldCharType="separate"/>
          </w:r>
          <w:r>
            <w:t>I</w:t>
          </w:r>
          <w:r>
            <w:fldChar w:fldCharType="end"/>
          </w:r>
          <w:r>
            <w:fldChar w:fldCharType="end"/>
          </w:r>
        </w:p>
        <w:p w14:paraId="4CD71513">
          <w:pPr>
            <w:pStyle w:val="22"/>
            <w:tabs>
              <w:tab w:val="right" w:leader="dot" w:pos="9354"/>
              <w:tab w:val="clear" w:pos="9241"/>
            </w:tabs>
            <w:spacing w:before="78" w:after="78"/>
          </w:pPr>
          <w:r>
            <w:fldChar w:fldCharType="begin"/>
          </w:r>
          <w:r>
            <w:instrText xml:space="preserve"> HYPERLINK \l "_Toc14736" </w:instrText>
          </w:r>
          <w:r>
            <w:fldChar w:fldCharType="separate"/>
          </w:r>
          <w:r>
            <w:rPr>
              <w:rFonts w:hint="eastAsia" w:ascii="Times New Roman"/>
            </w:rPr>
            <w:t>前</w:t>
          </w:r>
          <w:r>
            <w:rPr>
              <w:rFonts w:ascii="Times New Roman"/>
            </w:rPr>
            <w:t>  </w:t>
          </w:r>
          <w:r>
            <w:rPr>
              <w:rFonts w:hint="eastAsia" w:ascii="Times New Roman"/>
            </w:rPr>
            <w:t>言</w:t>
          </w:r>
          <w:r>
            <w:tab/>
          </w:r>
          <w:r>
            <w:fldChar w:fldCharType="begin"/>
          </w:r>
          <w:r>
            <w:instrText xml:space="preserve"> PAGEREF _Toc14736 \h </w:instrText>
          </w:r>
          <w:r>
            <w:fldChar w:fldCharType="separate"/>
          </w:r>
          <w:r>
            <w:t>I</w:t>
          </w:r>
          <w:r>
            <w:fldChar w:fldCharType="end"/>
          </w:r>
          <w:r>
            <w:fldChar w:fldCharType="end"/>
          </w:r>
        </w:p>
        <w:p w14:paraId="706D8349">
          <w:pPr>
            <w:pStyle w:val="31"/>
            <w:tabs>
              <w:tab w:val="right" w:leader="dot" w:pos="9354"/>
              <w:tab w:val="clear" w:pos="9241"/>
            </w:tabs>
          </w:pPr>
          <w:r>
            <w:fldChar w:fldCharType="begin"/>
          </w:r>
          <w:r>
            <w:instrText xml:space="preserve"> HYPERLINK \l "_Toc27798" </w:instrText>
          </w:r>
          <w:r>
            <w:fldChar w:fldCharType="separate"/>
          </w:r>
          <w:r>
            <w:rPr>
              <w:rFonts w:hint="eastAsia" w:ascii="黑体" w:hAnsi="黑体" w:eastAsia="黑体"/>
            </w:rPr>
            <w:t xml:space="preserve">1 </w:t>
          </w:r>
          <w:r>
            <w:rPr>
              <w:rFonts w:hint="eastAsia" w:hAnsi="黑体"/>
            </w:rPr>
            <w:t>范围</w:t>
          </w:r>
          <w:r>
            <w:tab/>
          </w:r>
          <w:r>
            <w:fldChar w:fldCharType="begin"/>
          </w:r>
          <w:r>
            <w:instrText xml:space="preserve"> PAGEREF _Toc27798 \h </w:instrText>
          </w:r>
          <w:r>
            <w:fldChar w:fldCharType="separate"/>
          </w:r>
          <w:r>
            <w:t>1</w:t>
          </w:r>
          <w:r>
            <w:fldChar w:fldCharType="end"/>
          </w:r>
          <w:r>
            <w:fldChar w:fldCharType="end"/>
          </w:r>
        </w:p>
        <w:p w14:paraId="57CFA1C8">
          <w:pPr>
            <w:pStyle w:val="31"/>
            <w:tabs>
              <w:tab w:val="right" w:leader="dot" w:pos="9354"/>
              <w:tab w:val="clear" w:pos="9241"/>
            </w:tabs>
          </w:pPr>
          <w:r>
            <w:fldChar w:fldCharType="begin"/>
          </w:r>
          <w:r>
            <w:instrText xml:space="preserve"> HYPERLINK \l "_Toc14152" </w:instrText>
          </w:r>
          <w:r>
            <w:fldChar w:fldCharType="separate"/>
          </w:r>
          <w:r>
            <w:rPr>
              <w:rFonts w:hint="eastAsia" w:ascii="黑体" w:hAnsi="黑体" w:eastAsia="黑体"/>
            </w:rPr>
            <w:t xml:space="preserve">2 </w:t>
          </w:r>
          <w:r>
            <w:rPr>
              <w:rFonts w:hint="eastAsia" w:ascii="Times New Roman"/>
            </w:rPr>
            <w:t>规范性引用文件</w:t>
          </w:r>
          <w:r>
            <w:tab/>
          </w:r>
          <w:r>
            <w:fldChar w:fldCharType="begin"/>
          </w:r>
          <w:r>
            <w:instrText xml:space="preserve"> PAGEREF _Toc14152 \h </w:instrText>
          </w:r>
          <w:r>
            <w:fldChar w:fldCharType="separate"/>
          </w:r>
          <w:r>
            <w:t>1</w:t>
          </w:r>
          <w:r>
            <w:fldChar w:fldCharType="end"/>
          </w:r>
          <w:r>
            <w:fldChar w:fldCharType="end"/>
          </w:r>
        </w:p>
        <w:p w14:paraId="22AAEB05">
          <w:pPr>
            <w:pStyle w:val="31"/>
            <w:tabs>
              <w:tab w:val="right" w:leader="dot" w:pos="9354"/>
              <w:tab w:val="clear" w:pos="9241"/>
            </w:tabs>
          </w:pPr>
          <w:r>
            <w:fldChar w:fldCharType="begin"/>
          </w:r>
          <w:r>
            <w:instrText xml:space="preserve"> HYPERLINK \l "_Toc11988" </w:instrText>
          </w:r>
          <w:r>
            <w:fldChar w:fldCharType="separate"/>
          </w:r>
          <w:r>
            <w:rPr>
              <w:rFonts w:hint="eastAsia" w:ascii="黑体" w:hAnsi="黑体" w:eastAsia="黑体"/>
            </w:rPr>
            <w:t xml:space="preserve">3 </w:t>
          </w:r>
          <w:r>
            <w:rPr>
              <w:rFonts w:hint="eastAsia" w:ascii="Times New Roman"/>
            </w:rPr>
            <w:t>术语和定义</w:t>
          </w:r>
          <w:r>
            <w:tab/>
          </w:r>
          <w:r>
            <w:fldChar w:fldCharType="begin"/>
          </w:r>
          <w:r>
            <w:instrText xml:space="preserve"> PAGEREF _Toc11988 \h </w:instrText>
          </w:r>
          <w:r>
            <w:fldChar w:fldCharType="separate"/>
          </w:r>
          <w:r>
            <w:t>1</w:t>
          </w:r>
          <w:r>
            <w:fldChar w:fldCharType="end"/>
          </w:r>
          <w:r>
            <w:fldChar w:fldCharType="end"/>
          </w:r>
        </w:p>
        <w:p w14:paraId="687AB9FD">
          <w:pPr>
            <w:pStyle w:val="31"/>
            <w:tabs>
              <w:tab w:val="right" w:leader="dot" w:pos="9354"/>
              <w:tab w:val="clear" w:pos="9241"/>
            </w:tabs>
          </w:pPr>
          <w:r>
            <w:fldChar w:fldCharType="begin"/>
          </w:r>
          <w:r>
            <w:instrText xml:space="preserve"> HYPERLINK \l "_Toc32002" </w:instrText>
          </w:r>
          <w:r>
            <w:fldChar w:fldCharType="separate"/>
          </w:r>
          <w:r>
            <w:rPr>
              <w:rFonts w:hint="eastAsia" w:ascii="黑体" w:hAnsi="黑体" w:eastAsia="黑体"/>
            </w:rPr>
            <w:t xml:space="preserve">4 </w:t>
          </w:r>
          <w:r>
            <w:rPr>
              <w:rFonts w:hint="eastAsia"/>
            </w:rPr>
            <w:t>评价目的和评价范围</w:t>
          </w:r>
          <w:r>
            <w:tab/>
          </w:r>
          <w:r>
            <w:fldChar w:fldCharType="begin"/>
          </w:r>
          <w:r>
            <w:instrText xml:space="preserve"> PAGEREF _Toc32002 \h </w:instrText>
          </w:r>
          <w:r>
            <w:fldChar w:fldCharType="separate"/>
          </w:r>
          <w:r>
            <w:t>2</w:t>
          </w:r>
          <w:r>
            <w:fldChar w:fldCharType="end"/>
          </w:r>
          <w:r>
            <w:fldChar w:fldCharType="end"/>
          </w:r>
        </w:p>
        <w:p w14:paraId="667D63A2">
          <w:pPr>
            <w:pStyle w:val="31"/>
            <w:tabs>
              <w:tab w:val="right" w:leader="dot" w:pos="9354"/>
              <w:tab w:val="clear" w:pos="9241"/>
            </w:tabs>
          </w:pPr>
          <w:r>
            <w:fldChar w:fldCharType="begin"/>
          </w:r>
          <w:r>
            <w:instrText xml:space="preserve"> HYPERLINK \l "_Toc20209" </w:instrText>
          </w:r>
          <w:r>
            <w:fldChar w:fldCharType="separate"/>
          </w:r>
          <w:r>
            <w:rPr>
              <w:rFonts w:hint="eastAsia" w:ascii="黑体" w:hAnsi="黑体" w:eastAsia="黑体"/>
            </w:rPr>
            <w:t xml:space="preserve">5 </w:t>
          </w:r>
          <w:r>
            <w:rPr>
              <w:rFonts w:hint="eastAsia"/>
            </w:rPr>
            <w:t>评价原则和要求</w:t>
          </w:r>
          <w:r>
            <w:tab/>
          </w:r>
          <w:r>
            <w:fldChar w:fldCharType="begin"/>
          </w:r>
          <w:r>
            <w:instrText xml:space="preserve"> PAGEREF _Toc20209 \h </w:instrText>
          </w:r>
          <w:r>
            <w:fldChar w:fldCharType="separate"/>
          </w:r>
          <w:r>
            <w:t>2</w:t>
          </w:r>
          <w:r>
            <w:fldChar w:fldCharType="end"/>
          </w:r>
          <w:r>
            <w:fldChar w:fldCharType="end"/>
          </w:r>
        </w:p>
        <w:p w14:paraId="0FF67C1B">
          <w:pPr>
            <w:pStyle w:val="31"/>
            <w:tabs>
              <w:tab w:val="right" w:leader="dot" w:pos="9354"/>
              <w:tab w:val="clear" w:pos="9241"/>
            </w:tabs>
          </w:pPr>
          <w:r>
            <w:fldChar w:fldCharType="begin"/>
          </w:r>
          <w:r>
            <w:instrText xml:space="preserve"> HYPERLINK \l "_Toc32539" </w:instrText>
          </w:r>
          <w:r>
            <w:fldChar w:fldCharType="separate"/>
          </w:r>
          <w:r>
            <w:rPr>
              <w:rFonts w:hint="eastAsia" w:ascii="黑体" w:hAnsi="黑体" w:eastAsia="黑体"/>
            </w:rPr>
            <w:t xml:space="preserve">6 </w:t>
          </w:r>
          <w:r>
            <w:rPr>
              <w:rFonts w:hint="eastAsia"/>
            </w:rPr>
            <w:t>评价报告</w:t>
          </w:r>
          <w:r>
            <w:tab/>
          </w:r>
          <w:r>
            <w:fldChar w:fldCharType="begin"/>
          </w:r>
          <w:r>
            <w:instrText xml:space="preserve"> PAGEREF _Toc32539 \h </w:instrText>
          </w:r>
          <w:r>
            <w:fldChar w:fldCharType="separate"/>
          </w:r>
          <w:r>
            <w:t>5</w:t>
          </w:r>
          <w:r>
            <w:fldChar w:fldCharType="end"/>
          </w:r>
          <w:r>
            <w:fldChar w:fldCharType="end"/>
          </w:r>
        </w:p>
        <w:p w14:paraId="53DE95CE">
          <w:pPr>
            <w:pStyle w:val="31"/>
            <w:tabs>
              <w:tab w:val="right" w:leader="dot" w:pos="9354"/>
              <w:tab w:val="clear" w:pos="9241"/>
            </w:tabs>
          </w:pPr>
          <w:r>
            <w:fldChar w:fldCharType="begin"/>
          </w:r>
          <w:r>
            <w:instrText xml:space="preserve"> HYPERLINK \l "_Toc18700" </w:instrText>
          </w:r>
          <w:r>
            <w:fldChar w:fldCharType="separate"/>
          </w:r>
          <w:r>
            <w:rPr>
              <w:rFonts w:hint="eastAsia" w:ascii="Times New Roman"/>
            </w:rPr>
            <w:t>附  录A （规范性）白酒企业绿色供应链管理企业评价表</w:t>
          </w:r>
          <w:r>
            <w:tab/>
          </w:r>
          <w:r>
            <w:fldChar w:fldCharType="begin"/>
          </w:r>
          <w:r>
            <w:instrText xml:space="preserve"> PAGEREF _Toc18700 \h </w:instrText>
          </w:r>
          <w:r>
            <w:fldChar w:fldCharType="separate"/>
          </w:r>
          <w:r>
            <w:t>6</w:t>
          </w:r>
          <w:r>
            <w:fldChar w:fldCharType="end"/>
          </w:r>
          <w:r>
            <w:fldChar w:fldCharType="end"/>
          </w:r>
        </w:p>
        <w:p w14:paraId="2FD38DAF">
          <w:pPr>
            <w:pStyle w:val="31"/>
            <w:tabs>
              <w:tab w:val="right" w:leader="dot" w:pos="9354"/>
              <w:tab w:val="clear" w:pos="9241"/>
            </w:tabs>
          </w:pPr>
          <w:r>
            <w:fldChar w:fldCharType="begin"/>
          </w:r>
          <w:r>
            <w:instrText xml:space="preserve"> HYPERLINK \l "_Toc4705" </w:instrText>
          </w:r>
          <w:r>
            <w:fldChar w:fldCharType="separate"/>
          </w:r>
          <w:r>
            <w:rPr>
              <w:rFonts w:hint="eastAsia" w:ascii="Times New Roman"/>
            </w:rPr>
            <w:t xml:space="preserve">附 </w:t>
          </w:r>
          <w:r>
            <w:rPr>
              <w:rFonts w:ascii="Times New Roman"/>
            </w:rPr>
            <w:t xml:space="preserve"> </w:t>
          </w:r>
          <w:r>
            <w:rPr>
              <w:rFonts w:hint="eastAsia" w:ascii="Times New Roman"/>
            </w:rPr>
            <w:t>录 B（规范性）评价流程及要求</w:t>
          </w:r>
          <w:r>
            <w:tab/>
          </w:r>
          <w:r>
            <w:fldChar w:fldCharType="begin"/>
          </w:r>
          <w:r>
            <w:instrText xml:space="preserve"> PAGEREF _Toc4705 \h </w:instrText>
          </w:r>
          <w:r>
            <w:fldChar w:fldCharType="separate"/>
          </w:r>
          <w:r>
            <w:t>12</w:t>
          </w:r>
          <w:r>
            <w:fldChar w:fldCharType="end"/>
          </w:r>
          <w:r>
            <w:fldChar w:fldCharType="end"/>
          </w:r>
        </w:p>
        <w:p w14:paraId="18A50AFA">
          <w:pPr>
            <w:pStyle w:val="31"/>
            <w:tabs>
              <w:tab w:val="right" w:leader="dot" w:pos="9354"/>
              <w:tab w:val="clear" w:pos="9241"/>
            </w:tabs>
          </w:pPr>
          <w:r>
            <w:fldChar w:fldCharType="begin"/>
          </w:r>
          <w:r>
            <w:instrText xml:space="preserve"> HYPERLINK \l "_Toc25742" </w:instrText>
          </w:r>
          <w:r>
            <w:fldChar w:fldCharType="separate"/>
          </w:r>
          <w:r>
            <w:rPr>
              <w:rFonts w:hint="eastAsia" w:ascii="Times New Roman"/>
            </w:rPr>
            <w:t xml:space="preserve">附 </w:t>
          </w:r>
          <w:r>
            <w:rPr>
              <w:rFonts w:ascii="Times New Roman"/>
            </w:rPr>
            <w:t xml:space="preserve"> </w:t>
          </w:r>
          <w:r>
            <w:rPr>
              <w:rFonts w:hint="eastAsia" w:ascii="Times New Roman"/>
            </w:rPr>
            <w:t>录 C（规范性）关键指标说明</w:t>
          </w:r>
          <w:r>
            <w:tab/>
          </w:r>
          <w:r>
            <w:fldChar w:fldCharType="begin"/>
          </w:r>
          <w:r>
            <w:instrText xml:space="preserve"> PAGEREF _Toc25742 \h </w:instrText>
          </w:r>
          <w:r>
            <w:fldChar w:fldCharType="separate"/>
          </w:r>
          <w:r>
            <w:t>14</w:t>
          </w:r>
          <w:r>
            <w:fldChar w:fldCharType="end"/>
          </w:r>
          <w:r>
            <w:fldChar w:fldCharType="end"/>
          </w:r>
        </w:p>
        <w:p w14:paraId="037C63F3">
          <w:pPr>
            <w:pStyle w:val="22"/>
            <w:spacing w:before="78" w:after="78"/>
          </w:pPr>
          <w:r>
            <w:rPr>
              <w:bCs/>
              <w:lang w:val="zh-CN"/>
            </w:rPr>
            <w:fldChar w:fldCharType="end"/>
          </w:r>
        </w:p>
      </w:sdtContent>
    </w:sdt>
    <w:p w14:paraId="4DF87531">
      <w:pPr>
        <w:rPr>
          <w:highlight w:val="yellow"/>
        </w:rPr>
        <w:sectPr>
          <w:headerReference r:id="rId4" w:type="default"/>
          <w:pgSz w:w="11906" w:h="16838"/>
          <w:pgMar w:top="567" w:right="1134" w:bottom="1134" w:left="1418" w:header="1418" w:footer="1134" w:gutter="0"/>
          <w:pgNumType w:fmt="upperRoman" w:start="1"/>
          <w:cols w:space="720" w:num="1"/>
          <w:formProt w:val="0"/>
          <w:docGrid w:type="lines" w:linePitch="312" w:charSpace="0"/>
        </w:sectPr>
      </w:pPr>
    </w:p>
    <w:p w14:paraId="2DDF4237">
      <w:pPr>
        <w:pStyle w:val="123"/>
        <w:rPr>
          <w:rFonts w:ascii="Times New Roman"/>
        </w:rPr>
      </w:pPr>
      <w:bookmarkStart w:id="14" w:name="_Toc167095749"/>
      <w:bookmarkStart w:id="15" w:name="_Toc14736"/>
      <w:r>
        <w:rPr>
          <w:rFonts w:hint="eastAsia" w:ascii="Times New Roman"/>
        </w:rPr>
        <w:t>前</w:t>
      </w:r>
      <w:bookmarkStart w:id="16" w:name="BKQY"/>
      <w:r>
        <w:rPr>
          <w:rFonts w:ascii="Times New Roman"/>
        </w:rPr>
        <w:t>  </w:t>
      </w:r>
      <w:r>
        <w:rPr>
          <w:rFonts w:hint="eastAsia" w:ascii="Times New Roman"/>
        </w:rPr>
        <w:t>言</w:t>
      </w:r>
      <w:bookmarkEnd w:id="0"/>
      <w:bookmarkEnd w:id="1"/>
      <w:bookmarkEnd w:id="2"/>
      <w:bookmarkEnd w:id="14"/>
      <w:bookmarkEnd w:id="15"/>
      <w:bookmarkEnd w:id="16"/>
    </w:p>
    <w:p w14:paraId="61CFCB56">
      <w:pPr>
        <w:pStyle w:val="26"/>
      </w:pPr>
      <w:r>
        <w:rPr>
          <w:rFonts w:hint="eastAsia"/>
        </w:rPr>
        <w:t>本文件按照GB/T 1.1-2020《标准化工作导则  第1部分：标准化文件的结构和起草规则》的规定起草。</w:t>
      </w:r>
    </w:p>
    <w:p w14:paraId="225774B4">
      <w:pPr>
        <w:pStyle w:val="26"/>
        <w:rPr>
          <w:highlight w:val="yellow"/>
        </w:rPr>
      </w:pPr>
      <w:r>
        <w:rPr>
          <w:rFonts w:hint="eastAsia"/>
        </w:rPr>
        <w:t>请注意本文件的某些内容可能涉及专利。本文件的发布机构不承担识别专利的责任。</w:t>
      </w:r>
    </w:p>
    <w:p w14:paraId="40EF6550">
      <w:pPr>
        <w:pStyle w:val="26"/>
      </w:pPr>
      <w:r>
        <w:rPr>
          <w:rFonts w:hint="eastAsia"/>
        </w:rPr>
        <w:t>本文件由中国酒业协会提出。</w:t>
      </w:r>
    </w:p>
    <w:p w14:paraId="66F676C4">
      <w:pPr>
        <w:pStyle w:val="26"/>
        <w:rPr>
          <w:highlight w:val="none"/>
        </w:rPr>
      </w:pPr>
      <w:r>
        <w:rPr>
          <w:rFonts w:hint="eastAsia"/>
        </w:rPr>
        <w:t>本文件由中</w:t>
      </w:r>
      <w:r>
        <w:rPr>
          <w:rFonts w:hint="eastAsia"/>
          <w:highlight w:val="none"/>
        </w:rPr>
        <w:t>国酒业协会团体标准审查委员会</w:t>
      </w:r>
      <w:bookmarkStart w:id="166" w:name="_GoBack"/>
      <w:bookmarkEnd w:id="166"/>
      <w:r>
        <w:rPr>
          <w:rFonts w:hint="eastAsia"/>
          <w:highlight w:val="none"/>
        </w:rPr>
        <w:t>归口。</w:t>
      </w:r>
    </w:p>
    <w:p w14:paraId="634061B2">
      <w:pPr>
        <w:pStyle w:val="26"/>
        <w:rPr>
          <w:highlight w:val="none"/>
        </w:rPr>
      </w:pPr>
      <w:r>
        <w:rPr>
          <w:rFonts w:hint="eastAsia"/>
          <w:highlight w:val="none"/>
        </w:rPr>
        <w:t>本文件起草单位：XXX，XXX，XXX。</w:t>
      </w:r>
    </w:p>
    <w:p w14:paraId="5EB3A340">
      <w:pPr>
        <w:pStyle w:val="26"/>
        <w:rPr>
          <w:highlight w:val="none"/>
        </w:rPr>
      </w:pPr>
      <w:r>
        <w:rPr>
          <w:rFonts w:hint="eastAsia"/>
          <w:highlight w:val="none"/>
        </w:rPr>
        <w:t>本文件主要起草人：XXX，XXX，XXX。</w:t>
      </w:r>
    </w:p>
    <w:p w14:paraId="18753423">
      <w:pPr>
        <w:pStyle w:val="26"/>
        <w:ind w:firstLine="0" w:firstLineChars="0"/>
        <w:rPr>
          <w:rFonts w:ascii="Times New Roman"/>
        </w:rPr>
        <w:sectPr>
          <w:pgSz w:w="11906" w:h="16838"/>
          <w:pgMar w:top="567" w:right="1134" w:bottom="1134" w:left="1418" w:header="1418" w:footer="1134" w:gutter="0"/>
          <w:pgNumType w:fmt="upperRoman" w:start="1"/>
          <w:cols w:space="720" w:num="1"/>
          <w:formProt w:val="0"/>
          <w:docGrid w:type="lines" w:linePitch="312" w:charSpace="0"/>
        </w:sectPr>
      </w:pPr>
    </w:p>
    <w:p w14:paraId="717314BF">
      <w:pPr>
        <w:pStyle w:val="26"/>
        <w:ind w:firstLine="640"/>
        <w:jc w:val="center"/>
        <w:rPr>
          <w:rFonts w:ascii="黑体" w:hAnsi="黑体" w:eastAsia="黑体"/>
          <w:sz w:val="32"/>
          <w:szCs w:val="32"/>
          <w:highlight w:val="yellow"/>
        </w:rPr>
      </w:pPr>
      <w:r>
        <w:rPr>
          <w:rFonts w:hint="eastAsia" w:ascii="黑体" w:hAnsi="黑体" w:eastAsia="黑体"/>
          <w:sz w:val="32"/>
          <w:szCs w:val="32"/>
        </w:rPr>
        <w:t>白酒企业绿色供应链管理评价</w:t>
      </w:r>
    </w:p>
    <w:p w14:paraId="77BA2173">
      <w:pPr>
        <w:pStyle w:val="55"/>
        <w:numPr>
          <w:ilvl w:val="0"/>
          <w:numId w:val="18"/>
        </w:numPr>
        <w:spacing w:before="312" w:after="312"/>
        <w:rPr>
          <w:rFonts w:hAnsi="黑体"/>
          <w:szCs w:val="21"/>
        </w:rPr>
      </w:pPr>
      <w:bookmarkStart w:id="17" w:name="_Toc404949454"/>
      <w:bookmarkStart w:id="18" w:name="_Toc404949485"/>
      <w:bookmarkStart w:id="19" w:name="_Toc405378320"/>
      <w:bookmarkStart w:id="20" w:name="_Toc27798"/>
      <w:r>
        <w:rPr>
          <w:rFonts w:hint="eastAsia" w:hAnsi="黑体"/>
          <w:szCs w:val="21"/>
        </w:rPr>
        <w:t>范围</w:t>
      </w:r>
      <w:bookmarkEnd w:id="17"/>
      <w:bookmarkEnd w:id="18"/>
      <w:bookmarkEnd w:id="19"/>
      <w:bookmarkEnd w:id="20"/>
    </w:p>
    <w:p w14:paraId="0B216953">
      <w:pPr>
        <w:pStyle w:val="26"/>
        <w:rPr>
          <w:rFonts w:ascii="Times New Roman"/>
        </w:rPr>
      </w:pPr>
      <w:r>
        <w:rPr>
          <w:rFonts w:hint="eastAsia" w:ascii="Times New Roman"/>
        </w:rPr>
        <w:t>本文件规定了白酒企业绿色供应链管理评价的范围、术语定义、评价目的和评价范围、评价原则和要求以及评价报告。</w:t>
      </w:r>
    </w:p>
    <w:p w14:paraId="6AB20208">
      <w:pPr>
        <w:pStyle w:val="26"/>
        <w:rPr>
          <w:rFonts w:ascii="Times New Roman"/>
        </w:rPr>
      </w:pPr>
      <w:r>
        <w:rPr>
          <w:rFonts w:hint="eastAsia" w:ascii="Times New Roman"/>
        </w:rPr>
        <w:t>本文件适用于白酒企业绿色供应链管理的评价和改进，可用于白酒企业自我评价、第二方（相关方）评价或第三方组织评价。</w:t>
      </w:r>
    </w:p>
    <w:p w14:paraId="515E808E">
      <w:pPr>
        <w:pStyle w:val="55"/>
        <w:numPr>
          <w:ilvl w:val="0"/>
          <w:numId w:val="18"/>
        </w:numPr>
        <w:spacing w:before="312" w:after="312"/>
        <w:rPr>
          <w:rFonts w:ascii="Times New Roman"/>
        </w:rPr>
      </w:pPr>
      <w:r>
        <w:rPr>
          <w:rFonts w:hint="eastAsia" w:ascii="Times New Roman"/>
        </w:rPr>
        <w:t xml:space="preserve"> </w:t>
      </w:r>
      <w:bookmarkStart w:id="21" w:name="_Toc14152"/>
      <w:r>
        <w:rPr>
          <w:rFonts w:hint="eastAsia" w:ascii="Times New Roman"/>
        </w:rPr>
        <w:t>规范性引用文件</w:t>
      </w:r>
      <w:bookmarkEnd w:id="21"/>
    </w:p>
    <w:p w14:paraId="413C5502">
      <w:pPr>
        <w:pStyle w:val="26"/>
        <w:rPr>
          <w:rFonts w:ascii="Times New Roman"/>
        </w:rPr>
      </w:pPr>
      <w:r>
        <w:rPr>
          <w:rFonts w:hint="eastAsia"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E623261">
      <w:pPr>
        <w:pStyle w:val="26"/>
        <w:rPr>
          <w:rFonts w:ascii="Times New Roman"/>
        </w:rPr>
      </w:pPr>
      <w:r>
        <w:rPr>
          <w:rFonts w:hint="eastAsia" w:ascii="Times New Roman"/>
        </w:rPr>
        <w:t>GB/T 19001  质量管理体系要求</w:t>
      </w:r>
    </w:p>
    <w:p w14:paraId="446D5881">
      <w:pPr>
        <w:pStyle w:val="26"/>
        <w:rPr>
          <w:rFonts w:ascii="Times New Roman"/>
        </w:rPr>
      </w:pPr>
      <w:r>
        <w:rPr>
          <w:rFonts w:hint="eastAsia" w:ascii="Times New Roman"/>
        </w:rPr>
        <w:t>GB/T 23331  能源管理体系要求</w:t>
      </w:r>
    </w:p>
    <w:p w14:paraId="1991FBFD">
      <w:pPr>
        <w:pStyle w:val="26"/>
        <w:rPr>
          <w:rFonts w:ascii="Times New Roman"/>
        </w:rPr>
      </w:pPr>
      <w:r>
        <w:rPr>
          <w:rFonts w:hint="eastAsia" w:ascii="Times New Roman"/>
        </w:rPr>
        <w:t>GB/T 24001  环境管理体系要求及使用指南</w:t>
      </w:r>
    </w:p>
    <w:p w14:paraId="29D31635">
      <w:pPr>
        <w:pStyle w:val="26"/>
        <w:rPr>
          <w:rFonts w:ascii="Times New Roman"/>
        </w:rPr>
      </w:pPr>
      <w:r>
        <w:rPr>
          <w:rFonts w:hint="eastAsia" w:ascii="Times New Roman"/>
        </w:rPr>
        <w:t>GB/T 24420  供应链风险管理指南</w:t>
      </w:r>
    </w:p>
    <w:p w14:paraId="7CB6C5F5">
      <w:pPr>
        <w:pStyle w:val="26"/>
        <w:rPr>
          <w:rFonts w:ascii="Times New Roman"/>
        </w:rPr>
      </w:pPr>
      <w:r>
        <w:rPr>
          <w:rFonts w:hint="eastAsia" w:ascii="Times New Roman"/>
        </w:rPr>
        <w:t>GB/T 36000  社会责任指南</w:t>
      </w:r>
    </w:p>
    <w:p w14:paraId="45F4113C">
      <w:pPr>
        <w:pStyle w:val="26"/>
        <w:rPr>
          <w:rFonts w:ascii="Times New Roman"/>
        </w:rPr>
      </w:pPr>
      <w:r>
        <w:rPr>
          <w:rFonts w:hint="eastAsia" w:ascii="Times New Roman"/>
        </w:rPr>
        <w:t>GB/T 36001  社会责任报告编写指南</w:t>
      </w:r>
    </w:p>
    <w:p w14:paraId="76A7E797">
      <w:pPr>
        <w:pStyle w:val="26"/>
        <w:rPr>
          <w:rFonts w:ascii="Times New Roman"/>
        </w:rPr>
      </w:pPr>
      <w:r>
        <w:rPr>
          <w:rFonts w:hint="eastAsia" w:ascii="Times New Roman"/>
        </w:rPr>
        <w:t>GB/T 33635  绿色制造 制造企业绿色供应链管理  导则</w:t>
      </w:r>
    </w:p>
    <w:p w14:paraId="0C7FDF71">
      <w:pPr>
        <w:pStyle w:val="26"/>
        <w:rPr>
          <w:rFonts w:ascii="Times New Roman"/>
        </w:rPr>
      </w:pPr>
      <w:r>
        <w:rPr>
          <w:rFonts w:hint="eastAsia" w:ascii="Times New Roman"/>
        </w:rPr>
        <w:t>GB/T 39256  绿色制造 制造企业绿色供应链管理 信息化管理平台规范</w:t>
      </w:r>
    </w:p>
    <w:p w14:paraId="663AC841">
      <w:pPr>
        <w:pStyle w:val="26"/>
        <w:rPr>
          <w:rFonts w:ascii="Times New Roman"/>
        </w:rPr>
      </w:pPr>
      <w:r>
        <w:rPr>
          <w:rFonts w:hint="eastAsia" w:ascii="Times New Roman"/>
        </w:rPr>
        <w:t>GB/T 39257  绿色制造 制造企业绿色供应链管理 评价规范</w:t>
      </w:r>
    </w:p>
    <w:p w14:paraId="6C47D10C">
      <w:pPr>
        <w:pStyle w:val="26"/>
        <w:rPr>
          <w:rFonts w:ascii="Times New Roman"/>
        </w:rPr>
      </w:pPr>
      <w:r>
        <w:rPr>
          <w:rFonts w:hint="eastAsia" w:ascii="Times New Roman"/>
        </w:rPr>
        <w:t>GB/T 39258  绿色制造 制造企业绿色供应链管理 采购控制</w:t>
      </w:r>
    </w:p>
    <w:p w14:paraId="3EA285FB">
      <w:pPr>
        <w:pStyle w:val="26"/>
        <w:rPr>
          <w:rFonts w:ascii="Times New Roman"/>
        </w:rPr>
      </w:pPr>
      <w:r>
        <w:rPr>
          <w:rFonts w:hint="eastAsia" w:ascii="Times New Roman"/>
        </w:rPr>
        <w:t>GB/T 39259  绿色制造 制造企业绿色供应链管理 物料清单要求</w:t>
      </w:r>
    </w:p>
    <w:p w14:paraId="3162D3DC">
      <w:pPr>
        <w:pStyle w:val="26"/>
        <w:rPr>
          <w:rFonts w:ascii="Times New Roman"/>
        </w:rPr>
      </w:pPr>
      <w:r>
        <w:rPr>
          <w:rFonts w:hint="eastAsia" w:ascii="Times New Roman"/>
        </w:rPr>
        <w:t>GB/T 45001  职业健康安全管理体系要求及使用指南</w:t>
      </w:r>
    </w:p>
    <w:p w14:paraId="2D9E0A23">
      <w:pPr>
        <w:pStyle w:val="26"/>
        <w:rPr>
          <w:rFonts w:ascii="Times New Roman"/>
        </w:rPr>
      </w:pPr>
      <w:r>
        <w:rPr>
          <w:rFonts w:hint="eastAsia" w:ascii="Times New Roman"/>
        </w:rPr>
        <w:t>HJ/T 402    清洁生产标准 白酒制造业</w:t>
      </w:r>
    </w:p>
    <w:p w14:paraId="40DA8B8A">
      <w:pPr>
        <w:pStyle w:val="55"/>
        <w:numPr>
          <w:ilvl w:val="0"/>
          <w:numId w:val="18"/>
        </w:numPr>
        <w:spacing w:before="312" w:after="312"/>
        <w:rPr>
          <w:rFonts w:ascii="Times New Roman"/>
        </w:rPr>
      </w:pPr>
      <w:bookmarkStart w:id="22" w:name="_Toc11988"/>
      <w:r>
        <w:rPr>
          <w:rFonts w:hint="eastAsia" w:ascii="Times New Roman"/>
        </w:rPr>
        <w:t>术语和定义</w:t>
      </w:r>
      <w:bookmarkEnd w:id="22"/>
    </w:p>
    <w:p w14:paraId="251CF64C">
      <w:pPr>
        <w:pStyle w:val="26"/>
      </w:pPr>
      <w:r>
        <w:rPr>
          <w:rFonts w:hint="eastAsia" w:ascii="Times New Roman"/>
        </w:rPr>
        <w:t>GB/T33635和GB/T 24420中规定的及下列术语和定义适用于本文件。</w:t>
      </w:r>
    </w:p>
    <w:p w14:paraId="47C72FC6">
      <w:pPr>
        <w:pStyle w:val="51"/>
        <w:spacing w:before="156" w:after="156"/>
      </w:pPr>
      <w:bookmarkStart w:id="23" w:name="_Toc171929279"/>
      <w:bookmarkStart w:id="24" w:name="_Toc171928174"/>
      <w:bookmarkStart w:id="25" w:name="_Toc30836"/>
      <w:bookmarkStart w:id="26" w:name="_Toc167095753"/>
      <w:r>
        <w:rPr>
          <w:rFonts w:hint="eastAsia"/>
        </w:rPr>
        <w:t>3.1 供应链  supply chain</w:t>
      </w:r>
      <w:bookmarkEnd w:id="23"/>
      <w:bookmarkEnd w:id="24"/>
      <w:bookmarkEnd w:id="25"/>
    </w:p>
    <w:p w14:paraId="728B31D9">
      <w:pPr>
        <w:pStyle w:val="26"/>
      </w:pPr>
      <w:r>
        <w:rPr>
          <w:rFonts w:hint="eastAsia"/>
        </w:rPr>
        <w:t>生产及流通过程中，涉及将产品提供给最终用户所形成的网链结构。</w:t>
      </w:r>
    </w:p>
    <w:p w14:paraId="4063E0A1">
      <w:pPr>
        <w:pStyle w:val="26"/>
        <w:rPr>
          <w:rFonts w:ascii="Times New Roman"/>
        </w:rPr>
      </w:pPr>
      <w:r>
        <w:rPr>
          <w:rFonts w:hint="eastAsia"/>
        </w:rPr>
        <w:t>注：供应链可包括供应商、制造商、物流商、内部配送中心、分销商、批发商以及联系最终用户的其他实体。</w:t>
      </w:r>
    </w:p>
    <w:p w14:paraId="667347FB">
      <w:pPr>
        <w:pStyle w:val="26"/>
        <w:rPr>
          <w:rFonts w:ascii="Times New Roman"/>
        </w:rPr>
      </w:pPr>
      <w:r>
        <w:rPr>
          <w:rFonts w:hint="eastAsia" w:ascii="Times New Roman"/>
        </w:rPr>
        <w:t>[GB/T 24420—2009，定义3.1]</w:t>
      </w:r>
    </w:p>
    <w:p w14:paraId="0200C77E">
      <w:pPr>
        <w:pStyle w:val="51"/>
        <w:spacing w:before="156" w:after="156"/>
      </w:pPr>
      <w:bookmarkStart w:id="27" w:name="_Toc171929280"/>
      <w:bookmarkStart w:id="28" w:name="_Toc171928175"/>
      <w:bookmarkStart w:id="29" w:name="_Toc9530"/>
      <w:r>
        <w:rPr>
          <w:rFonts w:hint="eastAsia"/>
        </w:rPr>
        <w:t xml:space="preserve">3.2 绿色采购  </w:t>
      </w:r>
      <w:r>
        <w:t>green procurement</w:t>
      </w:r>
      <w:bookmarkEnd w:id="27"/>
      <w:bookmarkEnd w:id="28"/>
      <w:bookmarkEnd w:id="29"/>
    </w:p>
    <w:p w14:paraId="24C3A19C">
      <w:pPr>
        <w:pStyle w:val="26"/>
      </w:pPr>
      <w:r>
        <w:rPr>
          <w:rFonts w:hint="eastAsia"/>
        </w:rPr>
        <w:t>企业在采购活动中，推广绿色低碳理念，充分考虑环境保护、资源节约、安全健康、循环低碳和回收促进，优先采购和使用节能、节水、节材等有利于环境保护的原材料、产品和服务的行为。</w:t>
      </w:r>
    </w:p>
    <w:p w14:paraId="2CD83D95">
      <w:pPr>
        <w:pStyle w:val="26"/>
        <w:rPr>
          <w:rFonts w:ascii="Times New Roman"/>
        </w:rPr>
      </w:pPr>
      <w:r>
        <w:rPr>
          <w:rFonts w:hint="eastAsia" w:ascii="Times New Roman"/>
        </w:rPr>
        <w:t>[GB/T 33635—2017，</w:t>
      </w:r>
      <w:r>
        <w:rPr>
          <w:rFonts w:hint="eastAsia" w:ascii="Times New Roman"/>
          <w:highlight w:val="none"/>
        </w:rPr>
        <w:t>定义</w:t>
      </w:r>
      <w:r>
        <w:rPr>
          <w:rFonts w:ascii="Times New Roman"/>
          <w:highlight w:val="none"/>
        </w:rPr>
        <w:t>3.2</w:t>
      </w:r>
      <w:r>
        <w:rPr>
          <w:rFonts w:hint="eastAsia" w:ascii="Times New Roman"/>
          <w:highlight w:val="none"/>
        </w:rPr>
        <w:t>]</w:t>
      </w:r>
    </w:p>
    <w:p w14:paraId="648AAE64">
      <w:pPr>
        <w:pStyle w:val="51"/>
        <w:spacing w:before="156" w:after="156"/>
      </w:pPr>
      <w:bookmarkStart w:id="30" w:name="_Toc29354"/>
      <w:bookmarkStart w:id="31" w:name="_Toc171929281"/>
      <w:bookmarkStart w:id="32" w:name="_Toc171928176"/>
      <w:r>
        <w:rPr>
          <w:rFonts w:hint="eastAsia"/>
        </w:rPr>
        <w:t>3</w:t>
      </w:r>
      <w:r>
        <w:t>.</w:t>
      </w:r>
      <w:r>
        <w:rPr>
          <w:rFonts w:hint="eastAsia"/>
        </w:rPr>
        <w:t>3 绿色供应链 green supply chain,GSC</w:t>
      </w:r>
      <w:bookmarkEnd w:id="26"/>
      <w:bookmarkEnd w:id="30"/>
      <w:bookmarkEnd w:id="31"/>
      <w:bookmarkEnd w:id="32"/>
    </w:p>
    <w:p w14:paraId="4620DD6F">
      <w:pPr>
        <w:pStyle w:val="26"/>
        <w:rPr>
          <w:rFonts w:ascii="Times New Roman"/>
        </w:rPr>
      </w:pPr>
      <w:r>
        <w:rPr>
          <w:rFonts w:hint="eastAsia" w:ascii="Times New Roman"/>
        </w:rPr>
        <w:t>将环境保护和资源节约的理念贯穿于企业从产品设计到原材料采购、运输、储存、销售、使用和回 收处理的全过程，使企业的经济活动与环境保护相协调的上下游供应关系。</w:t>
      </w:r>
    </w:p>
    <w:p w14:paraId="4AAD9500">
      <w:pPr>
        <w:pStyle w:val="26"/>
        <w:rPr>
          <w:rFonts w:ascii="Times New Roman"/>
        </w:rPr>
      </w:pPr>
      <w:r>
        <w:rPr>
          <w:rFonts w:hint="eastAsia" w:ascii="Times New Roman"/>
        </w:rPr>
        <w:t>[GB/T 33635-2017</w:t>
      </w:r>
      <w:r>
        <w:rPr>
          <w:rFonts w:hint="eastAsia" w:ascii="Times New Roman"/>
          <w:highlight w:val="none"/>
        </w:rPr>
        <w:t>，</w:t>
      </w:r>
      <w:r>
        <w:rPr>
          <w:rFonts w:hint="eastAsia" w:ascii="Times New Roman"/>
          <w:highlight w:val="none"/>
          <w:lang w:val="en-US" w:eastAsia="zh-CN"/>
        </w:rPr>
        <w:t>定义</w:t>
      </w:r>
      <w:r>
        <w:rPr>
          <w:rFonts w:ascii="Times New Roman"/>
          <w:highlight w:val="none"/>
        </w:rPr>
        <w:t>3.3</w:t>
      </w:r>
      <w:r>
        <w:rPr>
          <w:rFonts w:hint="eastAsia" w:ascii="Times New Roman"/>
        </w:rPr>
        <w:t>]</w:t>
      </w:r>
    </w:p>
    <w:p w14:paraId="4856D9BA">
      <w:pPr>
        <w:pStyle w:val="55"/>
        <w:numPr>
          <w:ilvl w:val="0"/>
          <w:numId w:val="18"/>
        </w:numPr>
        <w:spacing w:before="312" w:after="312"/>
      </w:pPr>
      <w:bookmarkStart w:id="33" w:name="_Toc32002"/>
      <w:r>
        <w:rPr>
          <w:rFonts w:hint="eastAsia"/>
        </w:rPr>
        <w:t>评价目的和评价范围</w:t>
      </w:r>
      <w:bookmarkEnd w:id="33"/>
    </w:p>
    <w:p w14:paraId="3A45AC9C">
      <w:pPr>
        <w:pStyle w:val="51"/>
        <w:spacing w:before="156" w:after="156"/>
      </w:pPr>
      <w:bookmarkStart w:id="34" w:name="_Toc31795"/>
      <w:bookmarkStart w:id="35" w:name="_Toc171929283"/>
      <w:bookmarkStart w:id="36" w:name="_Toc171928178"/>
      <w:bookmarkStart w:id="37" w:name="_Toc167095756"/>
      <w:r>
        <w:rPr>
          <w:rFonts w:hint="eastAsia"/>
        </w:rPr>
        <w:t>4</w:t>
      </w:r>
      <w:r>
        <w:t>.1</w:t>
      </w:r>
      <w:r>
        <w:rPr>
          <w:rFonts w:hint="eastAsia"/>
        </w:rPr>
        <w:t xml:space="preserve"> 评价目的</w:t>
      </w:r>
      <w:bookmarkEnd w:id="34"/>
      <w:bookmarkEnd w:id="35"/>
      <w:bookmarkEnd w:id="36"/>
      <w:bookmarkEnd w:id="37"/>
    </w:p>
    <w:p w14:paraId="3F17686C">
      <w:pPr>
        <w:pStyle w:val="26"/>
        <w:rPr>
          <w:rFonts w:ascii="Times New Roman"/>
        </w:rPr>
      </w:pPr>
      <w:r>
        <w:rPr>
          <w:rFonts w:hint="eastAsia" w:ascii="Times New Roman"/>
        </w:rPr>
        <w:t>依据绿色供应链管理的目标和要求，基于白酒企业业务全流程，通过对白酒制造企业的供应链全过程、各环节有关绿色要素的识别、分析和评价、评估企业供应链绿色化程度，发现问题，识别可改进和提升空间，为白酒企业绿色供应链管理的提升以及相关方绿色采购提供依据。</w:t>
      </w:r>
    </w:p>
    <w:p w14:paraId="1FF9CDA8">
      <w:pPr>
        <w:pStyle w:val="51"/>
        <w:spacing w:before="156" w:after="156"/>
      </w:pPr>
      <w:bookmarkStart w:id="38" w:name="_Toc171928179"/>
      <w:bookmarkStart w:id="39" w:name="_Toc356"/>
      <w:bookmarkStart w:id="40" w:name="_Toc171929284"/>
      <w:bookmarkStart w:id="41" w:name="_Toc167095758"/>
      <w:r>
        <w:rPr>
          <w:rFonts w:hint="eastAsia"/>
        </w:rPr>
        <w:t>4</w:t>
      </w:r>
      <w:r>
        <w:t>.2</w:t>
      </w:r>
      <w:r>
        <w:rPr>
          <w:rFonts w:hint="eastAsia"/>
        </w:rPr>
        <w:t xml:space="preserve"> 评价范围</w:t>
      </w:r>
      <w:bookmarkEnd w:id="38"/>
      <w:bookmarkEnd w:id="39"/>
      <w:bookmarkEnd w:id="40"/>
      <w:bookmarkEnd w:id="41"/>
    </w:p>
    <w:p w14:paraId="139613C4">
      <w:pPr>
        <w:pStyle w:val="3"/>
        <w:spacing w:before="0" w:after="0" w:line="240" w:lineRule="auto"/>
        <w:rPr>
          <w:b w:val="0"/>
          <w:bCs w:val="0"/>
          <w:kern w:val="0"/>
          <w:sz w:val="21"/>
          <w:szCs w:val="20"/>
        </w:rPr>
      </w:pPr>
      <w:bookmarkStart w:id="42" w:name="_Toc171928180"/>
      <w:bookmarkStart w:id="43" w:name="_Toc4399"/>
      <w:bookmarkStart w:id="44" w:name="_Toc167095759"/>
      <w:bookmarkStart w:id="45" w:name="_Toc171929285"/>
      <w:r>
        <w:rPr>
          <w:rFonts w:hint="eastAsia"/>
          <w:b w:val="0"/>
          <w:sz w:val="21"/>
          <w:szCs w:val="21"/>
        </w:rPr>
        <w:t>4</w:t>
      </w:r>
      <w:r>
        <w:rPr>
          <w:b w:val="0"/>
          <w:sz w:val="21"/>
          <w:szCs w:val="21"/>
        </w:rPr>
        <w:t>.</w:t>
      </w:r>
      <w:r>
        <w:rPr>
          <w:rFonts w:hint="eastAsia"/>
          <w:b w:val="0"/>
          <w:sz w:val="21"/>
          <w:szCs w:val="21"/>
        </w:rPr>
        <w:t>2</w:t>
      </w:r>
      <w:r>
        <w:rPr>
          <w:b w:val="0"/>
          <w:sz w:val="21"/>
          <w:szCs w:val="21"/>
        </w:rPr>
        <w:t xml:space="preserve">.1 </w:t>
      </w:r>
      <w:r>
        <w:rPr>
          <w:b w:val="0"/>
          <w:bCs w:val="0"/>
          <w:kern w:val="0"/>
          <w:sz w:val="21"/>
          <w:szCs w:val="20"/>
        </w:rPr>
        <w:t>涵盖白酒企业从产品设计、材料选用、采购、生产、运输、储存、包装、使用、回收利用、直至最终处置全生命周期过程。</w:t>
      </w:r>
      <w:bookmarkEnd w:id="42"/>
      <w:bookmarkEnd w:id="43"/>
      <w:bookmarkEnd w:id="44"/>
      <w:bookmarkEnd w:id="45"/>
    </w:p>
    <w:p w14:paraId="4778E9A5">
      <w:pPr>
        <w:pStyle w:val="3"/>
        <w:spacing w:before="0" w:after="0" w:line="240" w:lineRule="auto"/>
        <w:rPr>
          <w:b w:val="0"/>
          <w:sz w:val="21"/>
          <w:szCs w:val="21"/>
        </w:rPr>
      </w:pPr>
      <w:bookmarkStart w:id="46" w:name="_Toc171928181"/>
      <w:bookmarkStart w:id="47" w:name="_Toc171929286"/>
      <w:bookmarkStart w:id="48" w:name="_Toc19622"/>
      <w:bookmarkStart w:id="49" w:name="_Toc167095760"/>
      <w:r>
        <w:rPr>
          <w:rFonts w:hint="eastAsia"/>
          <w:b w:val="0"/>
          <w:sz w:val="21"/>
          <w:szCs w:val="21"/>
        </w:rPr>
        <w:t>4</w:t>
      </w:r>
      <w:r>
        <w:rPr>
          <w:b w:val="0"/>
          <w:sz w:val="21"/>
          <w:szCs w:val="21"/>
        </w:rPr>
        <w:t>.</w:t>
      </w:r>
      <w:r>
        <w:rPr>
          <w:rFonts w:hint="eastAsia"/>
          <w:b w:val="0"/>
          <w:sz w:val="21"/>
          <w:szCs w:val="21"/>
        </w:rPr>
        <w:t>2</w:t>
      </w:r>
      <w:r>
        <w:rPr>
          <w:b w:val="0"/>
          <w:sz w:val="21"/>
          <w:szCs w:val="21"/>
        </w:rPr>
        <w:t>.2 涉及</w:t>
      </w:r>
      <w:r>
        <w:rPr>
          <w:rFonts w:hint="eastAsia"/>
          <w:b w:val="0"/>
          <w:sz w:val="21"/>
          <w:szCs w:val="21"/>
        </w:rPr>
        <w:t>白酒</w:t>
      </w:r>
      <w:r>
        <w:rPr>
          <w:b w:val="0"/>
          <w:sz w:val="21"/>
          <w:szCs w:val="21"/>
        </w:rPr>
        <w:t>企业及有关的供应商、物流商、销售商、最终用户以及包装物再利用及废弃物处置等相关方。</w:t>
      </w:r>
      <w:bookmarkEnd w:id="46"/>
      <w:bookmarkEnd w:id="47"/>
      <w:bookmarkEnd w:id="48"/>
      <w:bookmarkEnd w:id="49"/>
    </w:p>
    <w:p w14:paraId="6AC7D1B7">
      <w:pPr>
        <w:pStyle w:val="3"/>
        <w:spacing w:before="0" w:after="0" w:line="240" w:lineRule="auto"/>
        <w:rPr>
          <w:b w:val="0"/>
          <w:sz w:val="21"/>
          <w:szCs w:val="21"/>
        </w:rPr>
      </w:pPr>
      <w:bookmarkStart w:id="50" w:name="_Toc171929287"/>
      <w:bookmarkStart w:id="51" w:name="_Toc167095761"/>
      <w:bookmarkStart w:id="52" w:name="_Toc16106"/>
      <w:bookmarkStart w:id="53" w:name="_Toc171928182"/>
      <w:r>
        <w:rPr>
          <w:rFonts w:hint="eastAsia"/>
          <w:b w:val="0"/>
          <w:sz w:val="21"/>
          <w:szCs w:val="21"/>
        </w:rPr>
        <w:t>4.2.3 评价内容包括白酒产品和物料的正向物流和信息流，还包括产品和物料的逆向物流和信息流。</w:t>
      </w:r>
      <w:bookmarkEnd w:id="50"/>
      <w:bookmarkEnd w:id="51"/>
      <w:bookmarkEnd w:id="52"/>
      <w:bookmarkEnd w:id="53"/>
    </w:p>
    <w:p w14:paraId="0C7B9C8C">
      <w:pPr>
        <w:pStyle w:val="3"/>
        <w:spacing w:before="0" w:after="0" w:line="240" w:lineRule="auto"/>
        <w:rPr>
          <w:b w:val="0"/>
          <w:sz w:val="21"/>
          <w:szCs w:val="21"/>
        </w:rPr>
      </w:pPr>
      <w:bookmarkStart w:id="54" w:name="_Toc171928183"/>
      <w:bookmarkStart w:id="55" w:name="_Toc2705"/>
      <w:bookmarkStart w:id="56" w:name="_Toc171929288"/>
      <w:bookmarkStart w:id="57" w:name="_Toc167095762"/>
      <w:r>
        <w:rPr>
          <w:rFonts w:hint="eastAsia"/>
          <w:b w:val="0"/>
          <w:sz w:val="21"/>
          <w:szCs w:val="21"/>
        </w:rPr>
        <w:t>4</w:t>
      </w:r>
      <w:r>
        <w:rPr>
          <w:b w:val="0"/>
          <w:sz w:val="21"/>
          <w:szCs w:val="21"/>
        </w:rPr>
        <w:t>.</w:t>
      </w:r>
      <w:r>
        <w:rPr>
          <w:rFonts w:hint="eastAsia"/>
          <w:b w:val="0"/>
          <w:sz w:val="21"/>
          <w:szCs w:val="21"/>
        </w:rPr>
        <w:t>2</w:t>
      </w:r>
      <w:r>
        <w:rPr>
          <w:b w:val="0"/>
          <w:sz w:val="21"/>
          <w:szCs w:val="21"/>
        </w:rPr>
        <w:t>.4 评价内容包括白酒企业绿色供应链信息化管理及信息披露。</w:t>
      </w:r>
      <w:bookmarkEnd w:id="54"/>
      <w:bookmarkEnd w:id="55"/>
      <w:bookmarkEnd w:id="56"/>
      <w:bookmarkEnd w:id="57"/>
    </w:p>
    <w:p w14:paraId="5A174402">
      <w:pPr>
        <w:pStyle w:val="55"/>
        <w:numPr>
          <w:ilvl w:val="0"/>
          <w:numId w:val="18"/>
        </w:numPr>
        <w:spacing w:before="312" w:after="312"/>
      </w:pPr>
      <w:bookmarkStart w:id="58" w:name="_Toc20209"/>
      <w:r>
        <w:rPr>
          <w:rFonts w:hint="eastAsia"/>
        </w:rPr>
        <w:t>评价原则和要求</w:t>
      </w:r>
      <w:bookmarkEnd w:id="58"/>
    </w:p>
    <w:p w14:paraId="2CF4CB4C">
      <w:pPr>
        <w:pStyle w:val="51"/>
        <w:spacing w:before="156" w:after="156"/>
      </w:pPr>
      <w:bookmarkStart w:id="59" w:name="_Toc171928185"/>
      <w:bookmarkStart w:id="60" w:name="_Toc171929290"/>
      <w:bookmarkStart w:id="61" w:name="_Toc8134"/>
      <w:r>
        <w:rPr>
          <w:rFonts w:hint="eastAsia"/>
        </w:rPr>
        <w:t>5</w:t>
      </w:r>
      <w:r>
        <w:t>.1</w:t>
      </w:r>
      <w:r>
        <w:rPr>
          <w:rFonts w:hint="eastAsia"/>
        </w:rPr>
        <w:t xml:space="preserve"> 评价原则</w:t>
      </w:r>
      <w:bookmarkEnd w:id="59"/>
      <w:bookmarkEnd w:id="60"/>
      <w:bookmarkEnd w:id="61"/>
    </w:p>
    <w:p w14:paraId="68E814A9">
      <w:pPr>
        <w:pStyle w:val="26"/>
        <w:rPr>
          <w:rFonts w:ascii="Times New Roman"/>
        </w:rPr>
      </w:pPr>
      <w:r>
        <w:rPr>
          <w:rFonts w:hint="eastAsia" w:ascii="Times New Roman"/>
        </w:rPr>
        <w:t>评价指标全面、系统、科学。评价依据完整、准确、可信。评价过程规范，评价文件完整、统一、清晰、可追溯。评价结果客观、准确、公正。</w:t>
      </w:r>
    </w:p>
    <w:p w14:paraId="34D8116D">
      <w:pPr>
        <w:pStyle w:val="51"/>
        <w:spacing w:before="156" w:after="156"/>
      </w:pPr>
      <w:bookmarkStart w:id="62" w:name="_Toc171929291"/>
      <w:bookmarkStart w:id="63" w:name="_Toc171928186"/>
      <w:bookmarkStart w:id="64" w:name="_Toc22429"/>
      <w:r>
        <w:rPr>
          <w:rFonts w:hint="eastAsia"/>
        </w:rPr>
        <w:t>5.2 评价方式</w:t>
      </w:r>
      <w:bookmarkEnd w:id="62"/>
      <w:bookmarkEnd w:id="63"/>
      <w:bookmarkEnd w:id="64"/>
    </w:p>
    <w:p w14:paraId="1FA174EA">
      <w:pPr>
        <w:pStyle w:val="26"/>
        <w:rPr>
          <w:rFonts w:ascii="Times New Roman"/>
        </w:rPr>
      </w:pPr>
      <w:r>
        <w:rPr>
          <w:rFonts w:ascii="Times New Roman"/>
        </w:rPr>
        <w:t>白酒企业绿色供应链管理评价可由第一方（企业自我评价）、第二方（相关方，如采购方）或第三方组织实施。第一方评价结论可用于企业绿色供应链改进或企业自我声明。当评价结论用于对外宣告时，应由具备评价资格、独立于企业的第三方评价机构进行。第二方和第三方评价前，应对评价企业基本要求（表1）符合情况予以核实、确认。</w:t>
      </w:r>
    </w:p>
    <w:p w14:paraId="43279766">
      <w:pPr>
        <w:pStyle w:val="51"/>
        <w:spacing w:before="156" w:after="156"/>
      </w:pPr>
      <w:bookmarkStart w:id="65" w:name="_Toc171929292"/>
      <w:bookmarkStart w:id="66" w:name="_Toc167095766"/>
      <w:bookmarkStart w:id="67" w:name="_Toc171928187"/>
      <w:bookmarkStart w:id="68" w:name="_Toc25733"/>
      <w:r>
        <w:rPr>
          <w:rFonts w:hint="eastAsia"/>
        </w:rPr>
        <w:t>5.3 评价方法</w:t>
      </w:r>
      <w:bookmarkEnd w:id="65"/>
      <w:bookmarkEnd w:id="66"/>
      <w:bookmarkEnd w:id="67"/>
      <w:bookmarkEnd w:id="68"/>
    </w:p>
    <w:p w14:paraId="31155C7F">
      <w:pPr>
        <w:pStyle w:val="26"/>
        <w:rPr>
          <w:rFonts w:ascii="Times New Roman"/>
        </w:rPr>
      </w:pPr>
      <w:r>
        <w:rPr>
          <w:rFonts w:ascii="Times New Roman"/>
        </w:rPr>
        <w:t>白酒企业绿色供应链管理评价采用打分法。依据白酒企业绿色供应链管理评价指标、要求和评价依据，文件评审和现场评审相结合，通过综合打分进行评价。</w:t>
      </w:r>
    </w:p>
    <w:p w14:paraId="0C3C56AC">
      <w:pPr>
        <w:pStyle w:val="51"/>
        <w:spacing w:before="156" w:after="156"/>
      </w:pPr>
      <w:bookmarkStart w:id="69" w:name="_Toc171929293"/>
      <w:bookmarkStart w:id="70" w:name="_Toc167095767"/>
      <w:bookmarkStart w:id="71" w:name="_Toc171928188"/>
      <w:bookmarkStart w:id="72" w:name="_Toc17971"/>
      <w:r>
        <w:rPr>
          <w:rFonts w:hint="eastAsia"/>
        </w:rPr>
        <w:t>5.4 评价指标选择原则</w:t>
      </w:r>
      <w:bookmarkEnd w:id="69"/>
      <w:bookmarkEnd w:id="70"/>
      <w:bookmarkEnd w:id="71"/>
      <w:bookmarkEnd w:id="72"/>
    </w:p>
    <w:p w14:paraId="172B408F">
      <w:pPr>
        <w:pStyle w:val="3"/>
        <w:spacing w:before="0" w:after="0" w:line="360" w:lineRule="auto"/>
        <w:rPr>
          <w:b w:val="0"/>
          <w:sz w:val="21"/>
          <w:szCs w:val="21"/>
        </w:rPr>
      </w:pPr>
      <w:bookmarkStart w:id="73" w:name="_Toc171928189"/>
      <w:bookmarkStart w:id="74" w:name="_Toc167095768"/>
      <w:bookmarkStart w:id="75" w:name="_Toc22246"/>
      <w:bookmarkStart w:id="76" w:name="_Toc171929294"/>
      <w:r>
        <w:rPr>
          <w:rFonts w:hint="eastAsia"/>
          <w:b w:val="0"/>
          <w:sz w:val="21"/>
          <w:szCs w:val="21"/>
        </w:rPr>
        <w:t>5.4.1 全面性和系统性原则</w:t>
      </w:r>
      <w:bookmarkEnd w:id="73"/>
      <w:bookmarkEnd w:id="74"/>
      <w:bookmarkEnd w:id="75"/>
      <w:bookmarkEnd w:id="76"/>
    </w:p>
    <w:p w14:paraId="1F3BC6D4">
      <w:pPr>
        <w:pStyle w:val="26"/>
        <w:rPr>
          <w:rFonts w:ascii="Times New Roman"/>
        </w:rPr>
      </w:pPr>
      <w:r>
        <w:rPr>
          <w:rFonts w:ascii="Times New Roman"/>
        </w:rPr>
        <w:t>评价指标应涵盖的评价范围见</w:t>
      </w:r>
      <w:r>
        <w:rPr>
          <w:rFonts w:hint="eastAsia" w:ascii="Times New Roman"/>
        </w:rPr>
        <w:t>3</w:t>
      </w:r>
      <w:r>
        <w:rPr>
          <w:rFonts w:ascii="Times New Roman"/>
        </w:rPr>
        <w:t>.</w:t>
      </w:r>
      <w:r>
        <w:rPr>
          <w:rFonts w:hint="eastAsia" w:ascii="Times New Roman"/>
        </w:rPr>
        <w:t>2</w:t>
      </w:r>
      <w:r>
        <w:rPr>
          <w:rFonts w:ascii="Times New Roman"/>
        </w:rPr>
        <w:t>，评价指标体系应全面系统、层次清晰。</w:t>
      </w:r>
    </w:p>
    <w:p w14:paraId="7052D878">
      <w:pPr>
        <w:pStyle w:val="3"/>
        <w:spacing w:before="0" w:after="0" w:line="360" w:lineRule="auto"/>
        <w:rPr>
          <w:b w:val="0"/>
          <w:sz w:val="21"/>
          <w:szCs w:val="21"/>
        </w:rPr>
      </w:pPr>
      <w:bookmarkStart w:id="77" w:name="_Toc171928190"/>
      <w:bookmarkStart w:id="78" w:name="_Toc167095769"/>
      <w:bookmarkStart w:id="79" w:name="_Toc22219"/>
      <w:bookmarkStart w:id="80" w:name="_Toc171929295"/>
      <w:r>
        <w:rPr>
          <w:rFonts w:hint="eastAsia"/>
          <w:b w:val="0"/>
          <w:sz w:val="21"/>
          <w:szCs w:val="21"/>
        </w:rPr>
        <w:t>5.4.2 可量化和可测量（或可评价）原则</w:t>
      </w:r>
      <w:bookmarkEnd w:id="77"/>
      <w:bookmarkEnd w:id="78"/>
      <w:bookmarkEnd w:id="79"/>
      <w:bookmarkEnd w:id="80"/>
    </w:p>
    <w:p w14:paraId="7AD39A40">
      <w:pPr>
        <w:pStyle w:val="26"/>
        <w:rPr>
          <w:rFonts w:ascii="Times New Roman"/>
        </w:rPr>
      </w:pPr>
      <w:r>
        <w:rPr>
          <w:rFonts w:hint="eastAsia" w:ascii="Times New Roman"/>
        </w:rPr>
        <w:t>评价指标应可量化、可测量或可评价，满足白酒企业绿色供应链管理水平定量分析和客观评价需要。</w:t>
      </w:r>
    </w:p>
    <w:p w14:paraId="21D67960">
      <w:pPr>
        <w:pStyle w:val="3"/>
        <w:spacing w:before="0" w:after="0" w:line="360" w:lineRule="auto"/>
        <w:rPr>
          <w:b w:val="0"/>
          <w:sz w:val="21"/>
          <w:szCs w:val="21"/>
        </w:rPr>
      </w:pPr>
      <w:bookmarkStart w:id="81" w:name="_Toc171928191"/>
      <w:bookmarkStart w:id="82" w:name="_Toc1936"/>
      <w:bookmarkStart w:id="83" w:name="_Toc171929296"/>
      <w:bookmarkStart w:id="84" w:name="_Toc167095770"/>
      <w:r>
        <w:rPr>
          <w:rFonts w:hint="eastAsia"/>
          <w:b w:val="0"/>
          <w:sz w:val="21"/>
          <w:szCs w:val="21"/>
        </w:rPr>
        <w:t>5.4.3 独立性和代表性原则</w:t>
      </w:r>
      <w:bookmarkEnd w:id="81"/>
      <w:bookmarkEnd w:id="82"/>
      <w:bookmarkEnd w:id="83"/>
      <w:bookmarkEnd w:id="84"/>
    </w:p>
    <w:p w14:paraId="733FFECB">
      <w:pPr>
        <w:pStyle w:val="26"/>
        <w:rPr>
          <w:rFonts w:ascii="Times New Roman"/>
        </w:rPr>
      </w:pPr>
      <w:r>
        <w:rPr>
          <w:rFonts w:hint="eastAsia" w:ascii="Times New Roman"/>
        </w:rPr>
        <w:t>评价指标应相对独立并且具有代表性。指标及权重应体现白酒行业特征，突出白酒产品的重要绿色属性。</w:t>
      </w:r>
    </w:p>
    <w:p w14:paraId="793297C4">
      <w:pPr>
        <w:pStyle w:val="51"/>
        <w:spacing w:before="156" w:after="156"/>
      </w:pPr>
      <w:bookmarkStart w:id="85" w:name="_Toc20631"/>
      <w:bookmarkStart w:id="86" w:name="_Toc171929297"/>
      <w:r>
        <w:rPr>
          <w:rFonts w:hint="eastAsia"/>
        </w:rPr>
        <w:t>5.5 基本要求</w:t>
      </w:r>
      <w:bookmarkEnd w:id="85"/>
      <w:bookmarkEnd w:id="86"/>
    </w:p>
    <w:p w14:paraId="4F266316">
      <w:pPr>
        <w:pStyle w:val="26"/>
        <w:rPr>
          <w:rFonts w:ascii="Times New Roman"/>
        </w:rPr>
      </w:pPr>
      <w:r>
        <w:rPr>
          <w:rFonts w:ascii="Times New Roman"/>
        </w:rPr>
        <w:t>白酒企业绿色供应链管理</w:t>
      </w:r>
      <w:r>
        <w:rPr>
          <w:rFonts w:hint="eastAsia" w:ascii="Times New Roman"/>
        </w:rPr>
        <w:t>基本</w:t>
      </w:r>
      <w:r>
        <w:rPr>
          <w:rFonts w:ascii="Times New Roman"/>
        </w:rPr>
        <w:t>要求如表1所示：</w:t>
      </w:r>
    </w:p>
    <w:p w14:paraId="1D21E231">
      <w:pPr>
        <w:pStyle w:val="26"/>
        <w:ind w:firstLine="0" w:firstLineChars="0"/>
        <w:jc w:val="center"/>
        <w:rPr>
          <w:rFonts w:ascii="Times New Roman"/>
        </w:rPr>
      </w:pPr>
      <w:r>
        <w:rPr>
          <w:rFonts w:ascii="Times New Roman"/>
        </w:rPr>
        <w:t>表1 白酒企业绿色供应链管理企业</w:t>
      </w:r>
      <w:r>
        <w:rPr>
          <w:rFonts w:hint="eastAsia" w:ascii="Times New Roman"/>
        </w:rPr>
        <w:t>基本</w:t>
      </w:r>
      <w:r>
        <w:rPr>
          <w:rFonts w:ascii="Times New Roman"/>
        </w:rPr>
        <w:t>要求符合性评价表</w:t>
      </w:r>
    </w:p>
    <w:tbl>
      <w:tblPr>
        <w:tblStyle w:val="35"/>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8310"/>
      </w:tblGrid>
      <w:tr w14:paraId="262E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416632CB">
            <w:pPr>
              <w:pStyle w:val="26"/>
              <w:ind w:firstLine="0" w:firstLineChars="0"/>
              <w:jc w:val="center"/>
              <w:rPr>
                <w:rFonts w:ascii="Times New Roman"/>
              </w:rPr>
            </w:pPr>
            <w:r>
              <w:rPr>
                <w:rFonts w:ascii="Times New Roman"/>
              </w:rPr>
              <w:t>序号</w:t>
            </w:r>
          </w:p>
        </w:tc>
        <w:tc>
          <w:tcPr>
            <w:tcW w:w="8310" w:type="dxa"/>
            <w:tcBorders>
              <w:top w:val="single" w:color="auto" w:sz="4" w:space="0"/>
              <w:left w:val="single" w:color="auto" w:sz="4" w:space="0"/>
              <w:bottom w:val="single" w:color="auto" w:sz="4" w:space="0"/>
              <w:right w:val="single" w:color="auto" w:sz="4" w:space="0"/>
            </w:tcBorders>
            <w:vAlign w:val="center"/>
          </w:tcPr>
          <w:p w14:paraId="3E0A6A19">
            <w:pPr>
              <w:pStyle w:val="26"/>
              <w:ind w:firstLine="0" w:firstLineChars="0"/>
              <w:jc w:val="center"/>
              <w:rPr>
                <w:rFonts w:ascii="Times New Roman"/>
              </w:rPr>
            </w:pPr>
            <w:r>
              <w:rPr>
                <w:rFonts w:hint="eastAsia" w:ascii="Times New Roman"/>
              </w:rPr>
              <w:t>基本</w:t>
            </w:r>
            <w:r>
              <w:rPr>
                <w:rFonts w:ascii="Times New Roman"/>
              </w:rPr>
              <w:t>要求</w:t>
            </w:r>
          </w:p>
        </w:tc>
      </w:tr>
      <w:tr w14:paraId="1AC8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52E8F1F8">
            <w:pPr>
              <w:pStyle w:val="26"/>
              <w:ind w:firstLine="0" w:firstLineChars="0"/>
              <w:jc w:val="center"/>
              <w:rPr>
                <w:rFonts w:ascii="Times New Roman"/>
              </w:rPr>
            </w:pPr>
            <w:r>
              <w:rPr>
                <w:rFonts w:ascii="Times New Roman"/>
              </w:rPr>
              <w:t>1</w:t>
            </w:r>
          </w:p>
        </w:tc>
        <w:tc>
          <w:tcPr>
            <w:tcW w:w="8310" w:type="dxa"/>
            <w:tcBorders>
              <w:top w:val="single" w:color="auto" w:sz="4" w:space="0"/>
              <w:left w:val="single" w:color="auto" w:sz="4" w:space="0"/>
              <w:bottom w:val="single" w:color="auto" w:sz="4" w:space="0"/>
              <w:right w:val="single" w:color="auto" w:sz="4" w:space="0"/>
            </w:tcBorders>
            <w:vAlign w:val="center"/>
          </w:tcPr>
          <w:p w14:paraId="24D9DC85">
            <w:pPr>
              <w:pStyle w:val="26"/>
              <w:ind w:firstLine="0" w:firstLineChars="0"/>
              <w:jc w:val="left"/>
              <w:rPr>
                <w:rFonts w:ascii="Times New Roman"/>
              </w:rPr>
            </w:pPr>
            <w:r>
              <w:rPr>
                <w:rFonts w:ascii="Times New Roman"/>
              </w:rPr>
              <w:t>具有独立法人资格。</w:t>
            </w:r>
          </w:p>
        </w:tc>
      </w:tr>
      <w:tr w14:paraId="6544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76F99F90">
            <w:pPr>
              <w:pStyle w:val="26"/>
              <w:ind w:firstLine="0" w:firstLineChars="0"/>
              <w:jc w:val="center"/>
              <w:rPr>
                <w:rFonts w:ascii="Times New Roman"/>
              </w:rPr>
            </w:pPr>
            <w:r>
              <w:rPr>
                <w:rFonts w:hint="eastAsia" w:ascii="Times New Roman"/>
              </w:rPr>
              <w:t>2</w:t>
            </w:r>
          </w:p>
        </w:tc>
        <w:tc>
          <w:tcPr>
            <w:tcW w:w="8310" w:type="dxa"/>
            <w:tcBorders>
              <w:top w:val="single" w:color="auto" w:sz="4" w:space="0"/>
              <w:left w:val="single" w:color="auto" w:sz="4" w:space="0"/>
              <w:bottom w:val="single" w:color="auto" w:sz="4" w:space="0"/>
              <w:right w:val="single" w:color="auto" w:sz="4" w:space="0"/>
            </w:tcBorders>
            <w:vAlign w:val="center"/>
          </w:tcPr>
          <w:p w14:paraId="00CA0006">
            <w:pPr>
              <w:pStyle w:val="26"/>
              <w:ind w:firstLine="0" w:firstLineChars="0"/>
              <w:jc w:val="left"/>
              <w:rPr>
                <w:rFonts w:ascii="Times New Roman"/>
              </w:rPr>
            </w:pPr>
            <w:r>
              <w:rPr>
                <w:rFonts w:hint="eastAsia" w:hAnsi="宋体"/>
                <w:kern w:val="2"/>
                <w:szCs w:val="21"/>
                <w:lang w:bidi="ar"/>
              </w:rPr>
              <w:t>具有较强的行业影响力</w:t>
            </w:r>
          </w:p>
        </w:tc>
      </w:tr>
      <w:tr w14:paraId="22E9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0C2F39AC">
            <w:pPr>
              <w:pStyle w:val="26"/>
              <w:ind w:firstLine="0" w:firstLineChars="0"/>
              <w:jc w:val="center"/>
              <w:rPr>
                <w:rFonts w:ascii="Times New Roman"/>
              </w:rPr>
            </w:pPr>
            <w:r>
              <w:rPr>
                <w:rFonts w:hint="eastAsia" w:ascii="Times New Roman"/>
              </w:rPr>
              <w:t>3</w:t>
            </w:r>
          </w:p>
        </w:tc>
        <w:tc>
          <w:tcPr>
            <w:tcW w:w="8310" w:type="dxa"/>
            <w:tcBorders>
              <w:top w:val="single" w:color="auto" w:sz="4" w:space="0"/>
              <w:left w:val="single" w:color="auto" w:sz="4" w:space="0"/>
              <w:bottom w:val="single" w:color="auto" w:sz="4" w:space="0"/>
              <w:right w:val="single" w:color="auto" w:sz="4" w:space="0"/>
            </w:tcBorders>
            <w:vAlign w:val="center"/>
          </w:tcPr>
          <w:p w14:paraId="48E145A5">
            <w:pPr>
              <w:pStyle w:val="26"/>
              <w:ind w:firstLine="0" w:firstLineChars="0"/>
              <w:jc w:val="left"/>
              <w:rPr>
                <w:rFonts w:ascii="Times New Roman"/>
              </w:rPr>
            </w:pPr>
            <w:r>
              <w:rPr>
                <w:rFonts w:ascii="Times New Roman"/>
              </w:rPr>
              <w:t>具有较完善的能源资源、环境管理体系，各项管理制度健全，符合国家和地方的法律法规及标准规范要求，近三年无重大安全和环境污染事故。</w:t>
            </w:r>
          </w:p>
        </w:tc>
      </w:tr>
      <w:tr w14:paraId="3BC6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212B194A">
            <w:pPr>
              <w:pStyle w:val="26"/>
              <w:ind w:firstLine="0" w:firstLineChars="0"/>
              <w:jc w:val="center"/>
              <w:rPr>
                <w:rFonts w:ascii="Times New Roman"/>
              </w:rPr>
            </w:pPr>
            <w:r>
              <w:rPr>
                <w:rFonts w:hint="eastAsia" w:ascii="Times New Roman"/>
              </w:rPr>
              <w:t>4</w:t>
            </w:r>
          </w:p>
        </w:tc>
        <w:tc>
          <w:tcPr>
            <w:tcW w:w="8310" w:type="dxa"/>
            <w:tcBorders>
              <w:top w:val="single" w:color="auto" w:sz="4" w:space="0"/>
              <w:left w:val="single" w:color="auto" w:sz="4" w:space="0"/>
              <w:bottom w:val="single" w:color="auto" w:sz="4" w:space="0"/>
              <w:right w:val="single" w:color="auto" w:sz="4" w:space="0"/>
            </w:tcBorders>
            <w:vAlign w:val="center"/>
          </w:tcPr>
          <w:p w14:paraId="1DBE340F">
            <w:pPr>
              <w:pStyle w:val="26"/>
              <w:ind w:firstLine="0" w:firstLineChars="0"/>
              <w:jc w:val="left"/>
              <w:rPr>
                <w:rFonts w:ascii="Times New Roman"/>
              </w:rPr>
            </w:pPr>
            <w:r>
              <w:rPr>
                <w:rFonts w:ascii="Times New Roman"/>
              </w:rPr>
              <w:t>拥有数量众多的供应商，在供应商中有很强的影响力，与上下游供应商建立良好的合作关系。</w:t>
            </w:r>
          </w:p>
        </w:tc>
      </w:tr>
      <w:tr w14:paraId="1D68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6C7B3EAF">
            <w:pPr>
              <w:pStyle w:val="26"/>
              <w:ind w:firstLine="0" w:firstLineChars="0"/>
              <w:jc w:val="center"/>
              <w:rPr>
                <w:rFonts w:ascii="Times New Roman"/>
              </w:rPr>
            </w:pPr>
            <w:r>
              <w:rPr>
                <w:rFonts w:hint="eastAsia" w:ascii="Times New Roman"/>
              </w:rPr>
              <w:t>5</w:t>
            </w:r>
          </w:p>
        </w:tc>
        <w:tc>
          <w:tcPr>
            <w:tcW w:w="8310" w:type="dxa"/>
            <w:tcBorders>
              <w:top w:val="single" w:color="auto" w:sz="4" w:space="0"/>
              <w:left w:val="single" w:color="auto" w:sz="4" w:space="0"/>
              <w:bottom w:val="single" w:color="auto" w:sz="4" w:space="0"/>
              <w:right w:val="single" w:color="auto" w:sz="4" w:space="0"/>
            </w:tcBorders>
            <w:vAlign w:val="center"/>
          </w:tcPr>
          <w:p w14:paraId="2E7D68F0">
            <w:pPr>
              <w:pStyle w:val="26"/>
              <w:ind w:firstLine="0" w:firstLineChars="0"/>
              <w:jc w:val="left"/>
              <w:rPr>
                <w:rFonts w:ascii="Times New Roman"/>
              </w:rPr>
            </w:pPr>
            <w:r>
              <w:rPr>
                <w:rFonts w:ascii="Times New Roman"/>
              </w:rPr>
              <w:t>有完善的供应商管理体系，建立健全的供应商认证、选择、审核、绩效管理和退出机制。</w:t>
            </w:r>
          </w:p>
        </w:tc>
      </w:tr>
      <w:tr w14:paraId="5FE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57A67C3F">
            <w:pPr>
              <w:pStyle w:val="26"/>
              <w:ind w:firstLine="0" w:firstLineChars="0"/>
              <w:jc w:val="center"/>
              <w:rPr>
                <w:rFonts w:ascii="Times New Roman"/>
              </w:rPr>
            </w:pPr>
            <w:r>
              <w:rPr>
                <w:rFonts w:hint="eastAsia" w:ascii="Times New Roman"/>
              </w:rPr>
              <w:t>6</w:t>
            </w:r>
          </w:p>
        </w:tc>
        <w:tc>
          <w:tcPr>
            <w:tcW w:w="8310" w:type="dxa"/>
            <w:tcBorders>
              <w:top w:val="single" w:color="auto" w:sz="4" w:space="0"/>
              <w:left w:val="single" w:color="auto" w:sz="4" w:space="0"/>
              <w:bottom w:val="single" w:color="auto" w:sz="4" w:space="0"/>
              <w:right w:val="single" w:color="auto" w:sz="4" w:space="0"/>
            </w:tcBorders>
            <w:vAlign w:val="center"/>
          </w:tcPr>
          <w:p w14:paraId="5D08E493">
            <w:pPr>
              <w:pStyle w:val="26"/>
              <w:ind w:firstLine="0" w:firstLineChars="0"/>
              <w:jc w:val="left"/>
              <w:rPr>
                <w:rFonts w:ascii="Times New Roman"/>
              </w:rPr>
            </w:pPr>
            <w:r>
              <w:rPr>
                <w:rFonts w:ascii="Times New Roman"/>
              </w:rPr>
              <w:t>有健全的财务管理制度，销售盈利能力处于行业领先水平。</w:t>
            </w:r>
          </w:p>
        </w:tc>
      </w:tr>
      <w:tr w14:paraId="6F49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1" w:type="dxa"/>
            <w:tcBorders>
              <w:top w:val="single" w:color="auto" w:sz="4" w:space="0"/>
              <w:left w:val="single" w:color="auto" w:sz="4" w:space="0"/>
              <w:bottom w:val="single" w:color="auto" w:sz="4" w:space="0"/>
              <w:right w:val="single" w:color="auto" w:sz="4" w:space="0"/>
            </w:tcBorders>
            <w:vAlign w:val="center"/>
          </w:tcPr>
          <w:p w14:paraId="0B13D4D5">
            <w:pPr>
              <w:pStyle w:val="26"/>
              <w:ind w:firstLine="0" w:firstLineChars="0"/>
              <w:jc w:val="center"/>
              <w:rPr>
                <w:rFonts w:ascii="Times New Roman"/>
              </w:rPr>
            </w:pPr>
            <w:r>
              <w:rPr>
                <w:rFonts w:hint="eastAsia" w:ascii="Times New Roman"/>
              </w:rPr>
              <w:t>7</w:t>
            </w:r>
          </w:p>
        </w:tc>
        <w:tc>
          <w:tcPr>
            <w:tcW w:w="8310" w:type="dxa"/>
            <w:tcBorders>
              <w:top w:val="single" w:color="auto" w:sz="4" w:space="0"/>
              <w:left w:val="single" w:color="auto" w:sz="4" w:space="0"/>
              <w:bottom w:val="single" w:color="auto" w:sz="4" w:space="0"/>
              <w:right w:val="single" w:color="auto" w:sz="4" w:space="0"/>
            </w:tcBorders>
            <w:vAlign w:val="center"/>
          </w:tcPr>
          <w:p w14:paraId="0F4F7BDA">
            <w:pPr>
              <w:pStyle w:val="26"/>
              <w:ind w:firstLine="0" w:firstLineChars="0"/>
              <w:jc w:val="left"/>
              <w:rPr>
                <w:rFonts w:ascii="Times New Roman"/>
                <w:sz w:val="24"/>
              </w:rPr>
            </w:pPr>
            <w:r>
              <w:rPr>
                <w:rFonts w:ascii="Times New Roman"/>
              </w:rPr>
              <w:t>对实施绿色供应链管理有明确的工作目标、思路、计划和措施。</w:t>
            </w:r>
          </w:p>
        </w:tc>
      </w:tr>
    </w:tbl>
    <w:p w14:paraId="658DEFEB">
      <w:pPr>
        <w:pStyle w:val="51"/>
        <w:spacing w:before="156" w:after="156"/>
      </w:pPr>
      <w:bookmarkStart w:id="87" w:name="_Toc23921"/>
      <w:bookmarkStart w:id="88" w:name="_Toc171929298"/>
      <w:bookmarkStart w:id="89" w:name="_Toc167095765"/>
      <w:r>
        <w:rPr>
          <w:rFonts w:hint="eastAsia"/>
        </w:rPr>
        <w:t>5.6 评价指标体系及要求</w:t>
      </w:r>
      <w:bookmarkEnd w:id="87"/>
      <w:bookmarkEnd w:id="88"/>
    </w:p>
    <w:bookmarkEnd w:id="89"/>
    <w:p w14:paraId="654CE15F">
      <w:pPr>
        <w:pStyle w:val="3"/>
        <w:spacing w:before="0" w:after="0" w:line="360" w:lineRule="auto"/>
        <w:rPr>
          <w:b w:val="0"/>
          <w:sz w:val="21"/>
          <w:szCs w:val="21"/>
        </w:rPr>
      </w:pPr>
      <w:bookmarkStart w:id="90" w:name="_Toc167095771"/>
      <w:bookmarkStart w:id="91" w:name="_Toc171928194"/>
      <w:bookmarkStart w:id="92" w:name="_Toc171929299"/>
      <w:bookmarkStart w:id="93" w:name="_Toc20805"/>
      <w:r>
        <w:rPr>
          <w:rFonts w:hint="eastAsia"/>
          <w:b w:val="0"/>
          <w:sz w:val="21"/>
          <w:szCs w:val="21"/>
        </w:rPr>
        <w:t xml:space="preserve">5.6.1 </w:t>
      </w:r>
      <w:bookmarkEnd w:id="90"/>
      <w:r>
        <w:rPr>
          <w:rFonts w:hint="eastAsia"/>
          <w:b w:val="0"/>
          <w:sz w:val="21"/>
          <w:szCs w:val="21"/>
        </w:rPr>
        <w:t>指标构成</w:t>
      </w:r>
      <w:bookmarkEnd w:id="91"/>
      <w:bookmarkEnd w:id="92"/>
      <w:bookmarkEnd w:id="93"/>
    </w:p>
    <w:p w14:paraId="02363901">
      <w:pPr>
        <w:pStyle w:val="26"/>
        <w:rPr>
          <w:rFonts w:ascii="Times New Roman"/>
        </w:rPr>
      </w:pPr>
      <w:r>
        <w:rPr>
          <w:rFonts w:hint="eastAsia" w:ascii="Times New Roman"/>
        </w:rPr>
        <w:t>白酒企业绿色供应链管理评价指标分为二级，表2给出一级和二级评价指标，其中一级评价指标6项，二级评价指标2</w:t>
      </w:r>
      <w:r>
        <w:rPr>
          <w:rFonts w:hint="eastAsia" w:ascii="Times New Roman"/>
          <w:lang w:val="en-US" w:eastAsia="zh-CN"/>
        </w:rPr>
        <w:t>0</w:t>
      </w:r>
      <w:r>
        <w:rPr>
          <w:rFonts w:hint="eastAsia" w:ascii="Times New Roman"/>
        </w:rPr>
        <w:t>项。</w:t>
      </w:r>
      <w:r>
        <w:rPr>
          <w:rFonts w:ascii="Times New Roman"/>
        </w:rPr>
        <w:t>根据指标可量化程度，评价指标分为定量指标和定性指标两类，合计总分</w:t>
      </w:r>
      <w:r>
        <w:rPr>
          <w:rFonts w:hint="eastAsia" w:ascii="Times New Roman"/>
        </w:rPr>
        <w:t>100分</w:t>
      </w:r>
      <w:r>
        <w:rPr>
          <w:rFonts w:ascii="Times New Roman"/>
        </w:rPr>
        <w:t>。</w:t>
      </w:r>
    </w:p>
    <w:p w14:paraId="1B67BD15">
      <w:pPr>
        <w:pStyle w:val="26"/>
        <w:ind w:firstLine="0" w:firstLineChars="0"/>
        <w:jc w:val="center"/>
        <w:rPr>
          <w:rFonts w:ascii="Times New Roman"/>
        </w:rPr>
      </w:pPr>
      <w:r>
        <w:rPr>
          <w:rFonts w:hint="eastAsia" w:ascii="Times New Roman"/>
        </w:rPr>
        <w:t>表2 白酒企业绿色供应链管理一级和二级评价指标</w:t>
      </w:r>
    </w:p>
    <w:tbl>
      <w:tblPr>
        <w:tblStyle w:val="155"/>
        <w:tblW w:w="9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9"/>
        <w:gridCol w:w="1996"/>
        <w:gridCol w:w="5690"/>
        <w:gridCol w:w="567"/>
        <w:gridCol w:w="712"/>
      </w:tblGrid>
      <w:tr w14:paraId="435F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2EA8C967">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序号</w:t>
            </w:r>
          </w:p>
        </w:tc>
        <w:tc>
          <w:tcPr>
            <w:tcW w:w="1996" w:type="dxa"/>
            <w:vAlign w:val="center"/>
          </w:tcPr>
          <w:p w14:paraId="791EA91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一级指标</w:t>
            </w:r>
          </w:p>
        </w:tc>
        <w:tc>
          <w:tcPr>
            <w:tcW w:w="5690" w:type="dxa"/>
            <w:vAlign w:val="center"/>
          </w:tcPr>
          <w:p w14:paraId="39D3D945">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二级指标</w:t>
            </w:r>
          </w:p>
        </w:tc>
        <w:tc>
          <w:tcPr>
            <w:tcW w:w="567" w:type="dxa"/>
            <w:vAlign w:val="center"/>
          </w:tcPr>
          <w:p w14:paraId="1994DD13">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指标类型</w:t>
            </w:r>
          </w:p>
        </w:tc>
        <w:tc>
          <w:tcPr>
            <w:tcW w:w="712" w:type="dxa"/>
            <w:vAlign w:val="center"/>
          </w:tcPr>
          <w:p w14:paraId="38C95A0C">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分值</w:t>
            </w:r>
          </w:p>
        </w:tc>
      </w:tr>
      <w:tr w14:paraId="1507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754149BF">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w:t>
            </w:r>
          </w:p>
        </w:tc>
        <w:tc>
          <w:tcPr>
            <w:tcW w:w="1996" w:type="dxa"/>
            <w:vMerge w:val="restart"/>
            <w:vAlign w:val="center"/>
          </w:tcPr>
          <w:p w14:paraId="08D6DD23">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eastAsia="Times New Roman" w:cs="Times New Roman"/>
                <w:szCs w:val="21"/>
              </w:rPr>
              <w:t>绿色供应链管理战略X1</w:t>
            </w:r>
          </w:p>
        </w:tc>
        <w:tc>
          <w:tcPr>
            <w:tcW w:w="5690" w:type="dxa"/>
            <w:vAlign w:val="center"/>
          </w:tcPr>
          <w:p w14:paraId="6677771A">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纳入公司发展规划 X11</w:t>
            </w:r>
          </w:p>
        </w:tc>
        <w:tc>
          <w:tcPr>
            <w:tcW w:w="567" w:type="dxa"/>
            <w:vAlign w:val="center"/>
          </w:tcPr>
          <w:p w14:paraId="63703F86">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14D48A4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3</w:t>
            </w:r>
          </w:p>
        </w:tc>
      </w:tr>
      <w:tr w14:paraId="77FB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7773A226">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2</w:t>
            </w:r>
          </w:p>
        </w:tc>
        <w:tc>
          <w:tcPr>
            <w:tcW w:w="1996" w:type="dxa"/>
            <w:vMerge w:val="continue"/>
            <w:vAlign w:val="center"/>
          </w:tcPr>
          <w:p w14:paraId="213F118C">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2168A7D4">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分年度制定绿色供应链管理目标X12</w:t>
            </w:r>
          </w:p>
        </w:tc>
        <w:tc>
          <w:tcPr>
            <w:tcW w:w="567" w:type="dxa"/>
            <w:vAlign w:val="center"/>
          </w:tcPr>
          <w:p w14:paraId="4EB7361C">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3951859D">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5</w:t>
            </w:r>
          </w:p>
        </w:tc>
      </w:tr>
      <w:tr w14:paraId="716C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0F1C477A">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3</w:t>
            </w:r>
          </w:p>
        </w:tc>
        <w:tc>
          <w:tcPr>
            <w:tcW w:w="1996" w:type="dxa"/>
            <w:vMerge w:val="continue"/>
            <w:vAlign w:val="center"/>
          </w:tcPr>
          <w:p w14:paraId="68748592">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0B841A8B">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机构设置、人员配备满足绿色供应链管理要求X13</w:t>
            </w:r>
          </w:p>
        </w:tc>
        <w:tc>
          <w:tcPr>
            <w:tcW w:w="567" w:type="dxa"/>
            <w:vAlign w:val="center"/>
          </w:tcPr>
          <w:p w14:paraId="013FE90B">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eastAsia="Times New Roman" w:cs="Times New Roman"/>
                <w:szCs w:val="21"/>
              </w:rPr>
              <w:t>定性</w:t>
            </w:r>
          </w:p>
        </w:tc>
        <w:tc>
          <w:tcPr>
            <w:tcW w:w="712" w:type="dxa"/>
            <w:vAlign w:val="center"/>
          </w:tcPr>
          <w:p w14:paraId="243D797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2</w:t>
            </w:r>
          </w:p>
        </w:tc>
      </w:tr>
      <w:tr w14:paraId="0BA0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FF2E09D">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4</w:t>
            </w:r>
          </w:p>
        </w:tc>
        <w:tc>
          <w:tcPr>
            <w:tcW w:w="1996" w:type="dxa"/>
            <w:vMerge w:val="restart"/>
            <w:vAlign w:val="center"/>
          </w:tcPr>
          <w:p w14:paraId="5AA56947">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eastAsia="Times New Roman" w:cs="Times New Roman"/>
                <w:szCs w:val="21"/>
              </w:rPr>
              <w:t>实施绿色供应商管理X2</w:t>
            </w:r>
          </w:p>
        </w:tc>
        <w:tc>
          <w:tcPr>
            <w:tcW w:w="5690" w:type="dxa"/>
            <w:vAlign w:val="center"/>
          </w:tcPr>
          <w:p w14:paraId="6A8807CA">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绿色采购标准制度完善X21</w:t>
            </w:r>
          </w:p>
        </w:tc>
        <w:tc>
          <w:tcPr>
            <w:tcW w:w="567" w:type="dxa"/>
            <w:vAlign w:val="center"/>
          </w:tcPr>
          <w:p w14:paraId="47539324">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02EEE608">
            <w:pPr>
              <w:pStyle w:val="26"/>
              <w:ind w:firstLine="0" w:firstLineChars="0"/>
              <w:jc w:val="center"/>
              <w:rPr>
                <w:rFonts w:hint="eastAsia" w:ascii="Times New Roman" w:hAnsi="Times New Roman" w:eastAsia="宋体" w:cs="Times New Roman"/>
                <w:szCs w:val="21"/>
                <w:lang w:eastAsia="zh-CN"/>
              </w:rPr>
            </w:pPr>
            <w:r>
              <w:rPr>
                <w:rFonts w:hint="eastAsia" w:ascii="Times New Roman" w:cs="Times New Roman"/>
                <w:szCs w:val="21"/>
                <w:lang w:val="en-US" w:eastAsia="zh-CN"/>
              </w:rPr>
              <w:t>3</w:t>
            </w:r>
          </w:p>
        </w:tc>
      </w:tr>
      <w:tr w14:paraId="1718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4BC03E20">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5</w:t>
            </w:r>
          </w:p>
        </w:tc>
        <w:tc>
          <w:tcPr>
            <w:tcW w:w="1996" w:type="dxa"/>
            <w:vMerge w:val="continue"/>
            <w:vAlign w:val="center"/>
          </w:tcPr>
          <w:p w14:paraId="57933513">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493F5601">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供应商认证体系完善X22</w:t>
            </w:r>
          </w:p>
        </w:tc>
        <w:tc>
          <w:tcPr>
            <w:tcW w:w="567" w:type="dxa"/>
            <w:vAlign w:val="center"/>
          </w:tcPr>
          <w:p w14:paraId="42C968E2">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04813344">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4</w:t>
            </w:r>
          </w:p>
        </w:tc>
      </w:tr>
      <w:tr w14:paraId="4CCF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5FCCC721">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6</w:t>
            </w:r>
          </w:p>
        </w:tc>
        <w:tc>
          <w:tcPr>
            <w:tcW w:w="1996" w:type="dxa"/>
            <w:vMerge w:val="continue"/>
            <w:vAlign w:val="center"/>
          </w:tcPr>
          <w:p w14:paraId="1258C36A">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5734B969">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对供应商定期审核X23</w:t>
            </w:r>
          </w:p>
        </w:tc>
        <w:tc>
          <w:tcPr>
            <w:tcW w:w="567" w:type="dxa"/>
            <w:vAlign w:val="center"/>
          </w:tcPr>
          <w:p w14:paraId="34836762">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4373E8E2">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2</w:t>
            </w:r>
          </w:p>
        </w:tc>
      </w:tr>
      <w:tr w14:paraId="09C0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9022E70">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7</w:t>
            </w:r>
          </w:p>
        </w:tc>
        <w:tc>
          <w:tcPr>
            <w:tcW w:w="1996" w:type="dxa"/>
            <w:vMerge w:val="continue"/>
            <w:vAlign w:val="center"/>
          </w:tcPr>
          <w:p w14:paraId="2B0E5E83">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110FAA5D">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建立供应商绩效评估和分类管理制度X24</w:t>
            </w:r>
          </w:p>
        </w:tc>
        <w:tc>
          <w:tcPr>
            <w:tcW w:w="567" w:type="dxa"/>
            <w:vAlign w:val="center"/>
          </w:tcPr>
          <w:p w14:paraId="2687B76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12C76114">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7</w:t>
            </w:r>
          </w:p>
        </w:tc>
      </w:tr>
      <w:tr w14:paraId="587D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6B394D98">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8</w:t>
            </w:r>
          </w:p>
        </w:tc>
        <w:tc>
          <w:tcPr>
            <w:tcW w:w="1996" w:type="dxa"/>
            <w:vMerge w:val="continue"/>
            <w:vAlign w:val="center"/>
          </w:tcPr>
          <w:p w14:paraId="68C99FDB">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16280B76">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定期对供应商进行培训X25</w:t>
            </w:r>
          </w:p>
        </w:tc>
        <w:tc>
          <w:tcPr>
            <w:tcW w:w="567" w:type="dxa"/>
            <w:vAlign w:val="center"/>
          </w:tcPr>
          <w:p w14:paraId="6F969D43">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55BF765B">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3</w:t>
            </w:r>
          </w:p>
        </w:tc>
      </w:tr>
      <w:tr w14:paraId="1F32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5B1CEE6C">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9</w:t>
            </w:r>
          </w:p>
        </w:tc>
        <w:tc>
          <w:tcPr>
            <w:tcW w:w="1996" w:type="dxa"/>
            <w:vMerge w:val="continue"/>
            <w:vAlign w:val="center"/>
          </w:tcPr>
          <w:p w14:paraId="741384FF">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0570568A">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低风险供应商占比X26</w:t>
            </w:r>
          </w:p>
        </w:tc>
        <w:tc>
          <w:tcPr>
            <w:tcW w:w="567" w:type="dxa"/>
            <w:vAlign w:val="center"/>
          </w:tcPr>
          <w:p w14:paraId="23439F81">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定量</w:t>
            </w:r>
          </w:p>
        </w:tc>
        <w:tc>
          <w:tcPr>
            <w:tcW w:w="712" w:type="dxa"/>
            <w:vAlign w:val="center"/>
          </w:tcPr>
          <w:p w14:paraId="108575B2">
            <w:pPr>
              <w:pStyle w:val="26"/>
              <w:ind w:firstLine="0" w:firstLineChars="0"/>
              <w:jc w:val="center"/>
              <w:rPr>
                <w:rFonts w:hint="eastAsia" w:ascii="Times New Roman" w:hAnsi="Times New Roman" w:eastAsia="宋体" w:cs="Times New Roman"/>
                <w:szCs w:val="21"/>
                <w:lang w:eastAsia="zh-CN"/>
              </w:rPr>
            </w:pPr>
            <w:r>
              <w:rPr>
                <w:rFonts w:hint="eastAsia" w:ascii="Times New Roman" w:cs="Times New Roman"/>
                <w:szCs w:val="21"/>
                <w:lang w:val="en-US" w:eastAsia="zh-CN"/>
              </w:rPr>
              <w:t>5</w:t>
            </w:r>
          </w:p>
        </w:tc>
      </w:tr>
      <w:tr w14:paraId="1B08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61E3FECF">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10</w:t>
            </w:r>
          </w:p>
        </w:tc>
        <w:tc>
          <w:tcPr>
            <w:tcW w:w="1996" w:type="dxa"/>
            <w:vMerge w:val="restart"/>
            <w:vAlign w:val="center"/>
          </w:tcPr>
          <w:p w14:paraId="0F696A1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绿色生产X3</w:t>
            </w:r>
          </w:p>
        </w:tc>
        <w:tc>
          <w:tcPr>
            <w:tcW w:w="5690" w:type="dxa"/>
            <w:vAlign w:val="center"/>
          </w:tcPr>
          <w:p w14:paraId="1B4D160E">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产品绿色设计要求X31</w:t>
            </w:r>
          </w:p>
        </w:tc>
        <w:tc>
          <w:tcPr>
            <w:tcW w:w="567" w:type="dxa"/>
            <w:vAlign w:val="center"/>
          </w:tcPr>
          <w:p w14:paraId="25DE0E08">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6BF4B174">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8</w:t>
            </w:r>
          </w:p>
        </w:tc>
      </w:tr>
      <w:tr w14:paraId="0026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5450A951">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11</w:t>
            </w:r>
          </w:p>
        </w:tc>
        <w:tc>
          <w:tcPr>
            <w:tcW w:w="1996" w:type="dxa"/>
            <w:vMerge w:val="continue"/>
            <w:vAlign w:val="center"/>
          </w:tcPr>
          <w:p w14:paraId="661FE953">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06A5EB17">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创建绿色工厂X32</w:t>
            </w:r>
          </w:p>
        </w:tc>
        <w:tc>
          <w:tcPr>
            <w:tcW w:w="567" w:type="dxa"/>
            <w:vAlign w:val="center"/>
          </w:tcPr>
          <w:p w14:paraId="4A758C2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1D31BDE6">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8</w:t>
            </w:r>
          </w:p>
        </w:tc>
      </w:tr>
      <w:tr w14:paraId="5633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575597F2">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12</w:t>
            </w:r>
          </w:p>
        </w:tc>
        <w:tc>
          <w:tcPr>
            <w:tcW w:w="1996" w:type="dxa"/>
            <w:vMerge w:val="continue"/>
            <w:vAlign w:val="center"/>
          </w:tcPr>
          <w:p w14:paraId="71C86EDA">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61E0FEE3">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节能环保合规 X33</w:t>
            </w:r>
          </w:p>
        </w:tc>
        <w:tc>
          <w:tcPr>
            <w:tcW w:w="567" w:type="dxa"/>
            <w:vAlign w:val="center"/>
          </w:tcPr>
          <w:p w14:paraId="12AFF61B">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7F4E810F">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7</w:t>
            </w:r>
          </w:p>
        </w:tc>
      </w:tr>
      <w:tr w14:paraId="14F6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52AD9D74">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13</w:t>
            </w:r>
          </w:p>
        </w:tc>
        <w:tc>
          <w:tcPr>
            <w:tcW w:w="1996" w:type="dxa"/>
            <w:vMerge w:val="continue"/>
            <w:vAlign w:val="center"/>
          </w:tcPr>
          <w:p w14:paraId="63112D13">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0D405D7D">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有害物质限制使用X34</w:t>
            </w:r>
          </w:p>
        </w:tc>
        <w:tc>
          <w:tcPr>
            <w:tcW w:w="567" w:type="dxa"/>
            <w:vAlign w:val="center"/>
          </w:tcPr>
          <w:p w14:paraId="6D5F62FC">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170B9EED">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2</w:t>
            </w:r>
          </w:p>
        </w:tc>
      </w:tr>
      <w:tr w14:paraId="18AF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2F977A8A">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14</w:t>
            </w:r>
          </w:p>
        </w:tc>
        <w:tc>
          <w:tcPr>
            <w:tcW w:w="1996" w:type="dxa"/>
            <w:vMerge w:val="restart"/>
            <w:vAlign w:val="center"/>
          </w:tcPr>
          <w:p w14:paraId="65D31D3C">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绿色回收X4</w:t>
            </w:r>
          </w:p>
        </w:tc>
        <w:tc>
          <w:tcPr>
            <w:tcW w:w="5690" w:type="dxa"/>
            <w:vAlign w:val="center"/>
          </w:tcPr>
          <w:p w14:paraId="3B807C0C">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白酒企业对生产过程中产生的主要废弃物有效的利用X41</w:t>
            </w:r>
          </w:p>
        </w:tc>
        <w:tc>
          <w:tcPr>
            <w:tcW w:w="567" w:type="dxa"/>
            <w:vAlign w:val="center"/>
          </w:tcPr>
          <w:p w14:paraId="52B373F3">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31ED5903">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5</w:t>
            </w:r>
          </w:p>
        </w:tc>
      </w:tr>
      <w:tr w14:paraId="0601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740E52FB">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15</w:t>
            </w:r>
          </w:p>
        </w:tc>
        <w:tc>
          <w:tcPr>
            <w:tcW w:w="1996" w:type="dxa"/>
            <w:vMerge w:val="continue"/>
            <w:vAlign w:val="center"/>
          </w:tcPr>
          <w:p w14:paraId="7FC92665">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2CE860BF">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出具包材拆解清单和回收利用清册，并对供应商提出绿色包材要求X42</w:t>
            </w:r>
          </w:p>
        </w:tc>
        <w:tc>
          <w:tcPr>
            <w:tcW w:w="567" w:type="dxa"/>
            <w:vAlign w:val="center"/>
          </w:tcPr>
          <w:p w14:paraId="1087BDBF">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344791EF">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2</w:t>
            </w:r>
          </w:p>
        </w:tc>
      </w:tr>
      <w:tr w14:paraId="26D4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78DD83F">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16</w:t>
            </w:r>
          </w:p>
        </w:tc>
        <w:tc>
          <w:tcPr>
            <w:tcW w:w="1996" w:type="dxa"/>
            <w:vMerge w:val="continue"/>
            <w:vAlign w:val="center"/>
          </w:tcPr>
          <w:p w14:paraId="544C1851">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1665FA4A">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包装回收率X43</w:t>
            </w:r>
          </w:p>
        </w:tc>
        <w:tc>
          <w:tcPr>
            <w:tcW w:w="567" w:type="dxa"/>
            <w:vAlign w:val="center"/>
          </w:tcPr>
          <w:p w14:paraId="06D10CDA">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定量</w:t>
            </w:r>
          </w:p>
        </w:tc>
        <w:tc>
          <w:tcPr>
            <w:tcW w:w="712" w:type="dxa"/>
            <w:vAlign w:val="center"/>
          </w:tcPr>
          <w:p w14:paraId="658BB117">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4</w:t>
            </w:r>
          </w:p>
        </w:tc>
      </w:tr>
      <w:tr w14:paraId="193D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03A800F">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17</w:t>
            </w:r>
          </w:p>
        </w:tc>
        <w:tc>
          <w:tcPr>
            <w:tcW w:w="1996" w:type="dxa"/>
            <w:vAlign w:val="center"/>
          </w:tcPr>
          <w:p w14:paraId="7BF4790F">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绿色信息平台建设X5</w:t>
            </w:r>
          </w:p>
        </w:tc>
        <w:tc>
          <w:tcPr>
            <w:tcW w:w="5690" w:type="dxa"/>
            <w:vAlign w:val="center"/>
          </w:tcPr>
          <w:p w14:paraId="43FA2A7E">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绿色供应链管理信息平台完善X51</w:t>
            </w:r>
          </w:p>
        </w:tc>
        <w:tc>
          <w:tcPr>
            <w:tcW w:w="567" w:type="dxa"/>
            <w:vAlign w:val="center"/>
          </w:tcPr>
          <w:p w14:paraId="5A549840">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38D61D98">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15</w:t>
            </w:r>
          </w:p>
        </w:tc>
      </w:tr>
      <w:tr w14:paraId="788F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834E73F">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18</w:t>
            </w:r>
          </w:p>
        </w:tc>
        <w:tc>
          <w:tcPr>
            <w:tcW w:w="1996" w:type="dxa"/>
            <w:vMerge w:val="restart"/>
            <w:vAlign w:val="center"/>
          </w:tcPr>
          <w:p w14:paraId="63817BD1">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绿色信息披露X6</w:t>
            </w:r>
          </w:p>
        </w:tc>
        <w:tc>
          <w:tcPr>
            <w:tcW w:w="5690" w:type="dxa"/>
            <w:vAlign w:val="center"/>
          </w:tcPr>
          <w:p w14:paraId="27B2669C">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披露企业节能减排减碳信息X61</w:t>
            </w:r>
          </w:p>
        </w:tc>
        <w:tc>
          <w:tcPr>
            <w:tcW w:w="567" w:type="dxa"/>
            <w:vAlign w:val="center"/>
          </w:tcPr>
          <w:p w14:paraId="498B576C">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19B6F888">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4</w:t>
            </w:r>
          </w:p>
        </w:tc>
      </w:tr>
      <w:tr w14:paraId="06EB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462B22CB">
            <w:pPr>
              <w:pStyle w:val="26"/>
              <w:ind w:firstLine="0" w:firstLineChars="0"/>
              <w:jc w:val="center"/>
              <w:rPr>
                <w:rFonts w:hint="default" w:ascii="Times New Roman" w:hAnsi="Times New Roman" w:cs="Times New Roman" w:eastAsiaTheme="minorEastAsia"/>
                <w:szCs w:val="21"/>
              </w:rPr>
            </w:pPr>
            <w:r>
              <w:rPr>
                <w:rFonts w:hint="default" w:ascii="Times New Roman" w:hAnsi="Times New Roman" w:cs="Times New Roman" w:eastAsiaTheme="minorEastAsia"/>
                <w:szCs w:val="21"/>
              </w:rPr>
              <w:t>19</w:t>
            </w:r>
          </w:p>
        </w:tc>
        <w:tc>
          <w:tcPr>
            <w:tcW w:w="1996" w:type="dxa"/>
            <w:vMerge w:val="continue"/>
            <w:vAlign w:val="center"/>
          </w:tcPr>
          <w:p w14:paraId="3E5201A8">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019870AA">
            <w:pPr>
              <w:pStyle w:val="26"/>
              <w:ind w:firstLine="0" w:firstLineChars="0"/>
              <w:jc w:val="left"/>
              <w:rPr>
                <w:rFonts w:hint="default" w:ascii="Times New Roman" w:hAnsi="Times New Roman" w:eastAsia="Times New Roman" w:cs="Times New Roman"/>
                <w:szCs w:val="21"/>
              </w:rPr>
            </w:pPr>
            <w:r>
              <w:rPr>
                <w:rFonts w:hint="default" w:ascii="Times New Roman" w:hAnsi="Times New Roman" w:eastAsia="Times New Roman" w:cs="Times New Roman"/>
                <w:szCs w:val="21"/>
              </w:rPr>
              <w:t>披露高、中风险供应商审核率及低风险供应商占比X62</w:t>
            </w:r>
          </w:p>
        </w:tc>
        <w:tc>
          <w:tcPr>
            <w:tcW w:w="567" w:type="dxa"/>
            <w:vAlign w:val="center"/>
          </w:tcPr>
          <w:p w14:paraId="4DB7CB00">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定量</w:t>
            </w:r>
          </w:p>
        </w:tc>
        <w:tc>
          <w:tcPr>
            <w:tcW w:w="712" w:type="dxa"/>
            <w:vAlign w:val="center"/>
          </w:tcPr>
          <w:p w14:paraId="5F0F64A0">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4</w:t>
            </w:r>
          </w:p>
        </w:tc>
      </w:tr>
      <w:tr w14:paraId="05DC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dxa"/>
            <w:vAlign w:val="center"/>
          </w:tcPr>
          <w:p w14:paraId="1306E488">
            <w:pPr>
              <w:pStyle w:val="26"/>
              <w:ind w:firstLine="0" w:firstLineChars="0"/>
              <w:jc w:val="center"/>
              <w:rPr>
                <w:rFonts w:hint="default" w:ascii="Times New Roman" w:hAnsi="Times New Roman" w:cs="Times New Roman" w:eastAsiaTheme="minorEastAsia"/>
                <w:szCs w:val="21"/>
                <w:lang w:eastAsia="zh-CN"/>
              </w:rPr>
            </w:pPr>
            <w:r>
              <w:rPr>
                <w:rFonts w:hint="default" w:ascii="Times New Roman" w:hAnsi="Times New Roman" w:cs="Times New Roman" w:eastAsiaTheme="minorEastAsia"/>
                <w:szCs w:val="21"/>
              </w:rPr>
              <w:t>2</w:t>
            </w:r>
            <w:r>
              <w:rPr>
                <w:rFonts w:hint="default" w:ascii="Times New Roman" w:hAnsi="Times New Roman" w:cs="Times New Roman" w:eastAsiaTheme="minorEastAsia"/>
                <w:szCs w:val="21"/>
                <w:lang w:val="en-US" w:eastAsia="zh-CN"/>
              </w:rPr>
              <w:t>0</w:t>
            </w:r>
          </w:p>
        </w:tc>
        <w:tc>
          <w:tcPr>
            <w:tcW w:w="1996" w:type="dxa"/>
            <w:vMerge w:val="continue"/>
            <w:vAlign w:val="center"/>
          </w:tcPr>
          <w:p w14:paraId="2AA38FC8">
            <w:pPr>
              <w:pStyle w:val="26"/>
              <w:ind w:firstLine="0" w:firstLineChars="0"/>
              <w:jc w:val="center"/>
              <w:rPr>
                <w:rFonts w:hint="default" w:ascii="Times New Roman" w:hAnsi="Times New Roman" w:eastAsia="Times New Roman" w:cs="Times New Roman"/>
                <w:szCs w:val="21"/>
              </w:rPr>
            </w:pPr>
          </w:p>
        </w:tc>
        <w:tc>
          <w:tcPr>
            <w:tcW w:w="5690" w:type="dxa"/>
            <w:vAlign w:val="center"/>
          </w:tcPr>
          <w:p w14:paraId="2421E724">
            <w:pPr>
              <w:pStyle w:val="26"/>
              <w:ind w:firstLine="0" w:firstLineChars="0"/>
              <w:jc w:val="both"/>
              <w:rPr>
                <w:rFonts w:hint="default" w:ascii="Times New Roman" w:hAnsi="Times New Roman" w:eastAsia="Times New Roman" w:cs="Times New Roman"/>
                <w:szCs w:val="21"/>
              </w:rPr>
            </w:pPr>
            <w:r>
              <w:rPr>
                <w:rFonts w:hint="default" w:ascii="Times New Roman" w:hAnsi="Times New Roman" w:eastAsia="Times New Roman" w:cs="Times New Roman"/>
                <w:szCs w:val="21"/>
              </w:rPr>
              <w:t>发布企业社会责任报告（含绿色采购信息）X64</w:t>
            </w:r>
          </w:p>
        </w:tc>
        <w:tc>
          <w:tcPr>
            <w:tcW w:w="567" w:type="dxa"/>
            <w:vAlign w:val="center"/>
          </w:tcPr>
          <w:p w14:paraId="71866FAE">
            <w:pPr>
              <w:pStyle w:val="26"/>
              <w:ind w:firstLine="0" w:firstLineChars="0"/>
              <w:jc w:val="center"/>
              <w:rPr>
                <w:rFonts w:hint="default" w:ascii="Times New Roman" w:hAnsi="Times New Roman" w:eastAsia="Times New Roman" w:cs="Times New Roman"/>
                <w:szCs w:val="21"/>
              </w:rPr>
            </w:pPr>
            <w:r>
              <w:rPr>
                <w:rFonts w:hint="default" w:ascii="Times New Roman" w:hAnsi="Times New Roman" w:eastAsia="Times New Roman" w:cs="Times New Roman"/>
                <w:szCs w:val="21"/>
              </w:rPr>
              <w:t>定性</w:t>
            </w:r>
          </w:p>
        </w:tc>
        <w:tc>
          <w:tcPr>
            <w:tcW w:w="712" w:type="dxa"/>
            <w:vAlign w:val="center"/>
          </w:tcPr>
          <w:p w14:paraId="6D21AE11">
            <w:pPr>
              <w:pStyle w:val="26"/>
              <w:ind w:firstLine="0" w:firstLineChars="0"/>
              <w:jc w:val="center"/>
              <w:rPr>
                <w:rFonts w:hint="default" w:ascii="Times New Roman" w:hAnsi="Times New Roman" w:eastAsia="Times New Roman" w:cs="Times New Roman"/>
                <w:szCs w:val="21"/>
                <w:lang w:eastAsia="zh-CN"/>
              </w:rPr>
            </w:pPr>
            <w:r>
              <w:rPr>
                <w:rFonts w:hint="default" w:ascii="Times New Roman" w:hAnsi="Times New Roman" w:eastAsia="Times New Roman" w:cs="Times New Roman"/>
                <w:szCs w:val="21"/>
                <w:lang w:val="en-US" w:eastAsia="zh-CN"/>
              </w:rPr>
              <w:t>7</w:t>
            </w:r>
          </w:p>
        </w:tc>
      </w:tr>
    </w:tbl>
    <w:p w14:paraId="5DB4AA9E">
      <w:pPr>
        <w:pStyle w:val="3"/>
        <w:spacing w:before="0" w:after="0" w:line="360" w:lineRule="auto"/>
        <w:rPr>
          <w:rFonts w:hint="default" w:eastAsia="宋体"/>
          <w:b w:val="0"/>
          <w:sz w:val="21"/>
          <w:szCs w:val="21"/>
          <w:lang w:val="en-US" w:eastAsia="zh-CN"/>
        </w:rPr>
      </w:pPr>
      <w:bookmarkStart w:id="94" w:name="_Toc171929300"/>
      <w:bookmarkStart w:id="95" w:name="_Toc171928195"/>
      <w:bookmarkStart w:id="96" w:name="_Toc28687"/>
      <w:bookmarkStart w:id="97" w:name="_Toc167095780"/>
      <w:r>
        <w:rPr>
          <w:rFonts w:hint="eastAsia"/>
          <w:b w:val="0"/>
          <w:sz w:val="21"/>
          <w:szCs w:val="21"/>
          <w:lang w:val="en-US" w:eastAsia="zh-CN"/>
        </w:rPr>
        <w:t>注：各项目具体评价指标见附录A。</w:t>
      </w:r>
    </w:p>
    <w:p w14:paraId="09EE45D7">
      <w:pPr>
        <w:pStyle w:val="3"/>
        <w:spacing w:before="0" w:after="0" w:line="360" w:lineRule="auto"/>
        <w:rPr>
          <w:b w:val="0"/>
          <w:sz w:val="21"/>
          <w:szCs w:val="21"/>
        </w:rPr>
      </w:pPr>
      <w:r>
        <w:rPr>
          <w:rFonts w:hint="eastAsia"/>
          <w:b w:val="0"/>
          <w:sz w:val="21"/>
          <w:szCs w:val="21"/>
        </w:rPr>
        <w:t>5.6.2 指标评价要求</w:t>
      </w:r>
      <w:bookmarkEnd w:id="94"/>
      <w:bookmarkEnd w:id="95"/>
      <w:bookmarkEnd w:id="96"/>
    </w:p>
    <w:p w14:paraId="34DFD5BF">
      <w:pPr>
        <w:pStyle w:val="26"/>
        <w:rPr>
          <w:rFonts w:ascii="Times New Roman"/>
        </w:rPr>
      </w:pPr>
      <w:bookmarkStart w:id="98" w:name="_Toc171928196"/>
      <w:r>
        <w:rPr>
          <w:rFonts w:hint="eastAsia" w:ascii="Times New Roman"/>
        </w:rPr>
        <w:t>企业或评价方应对被评价方的评价指标现状做出相应说明，根据指标对白酒生命周期和供应链系统资源、生态环境和健康安全影响的重要程度，确定指标分值。</w:t>
      </w:r>
      <w:bookmarkEnd w:id="98"/>
      <w:bookmarkStart w:id="99" w:name="_Toc171928197"/>
      <w:r>
        <w:rPr>
          <w:rFonts w:hint="eastAsia" w:ascii="Times New Roman"/>
        </w:rPr>
        <w:t>定量指标主要包括低风险供应商占比</w:t>
      </w:r>
      <w:r>
        <w:rPr>
          <w:rFonts w:hint="eastAsia" w:ascii="Times New Roman"/>
          <w:lang w:eastAsia="zh-CN"/>
        </w:rPr>
        <w:t>、</w:t>
      </w:r>
      <w:r>
        <w:rPr>
          <w:rFonts w:hint="eastAsia" w:ascii="Times New Roman"/>
        </w:rPr>
        <w:t>包装</w:t>
      </w:r>
      <w:r>
        <w:rPr>
          <w:rFonts w:hint="eastAsia" w:ascii="Times New Roman"/>
          <w:lang w:val="en-US" w:eastAsia="zh-CN"/>
        </w:rPr>
        <w:t>回收率</w:t>
      </w:r>
      <w:r>
        <w:rPr>
          <w:rFonts w:hint="eastAsia" w:ascii="Times New Roman"/>
        </w:rPr>
        <w:t>等</w:t>
      </w:r>
      <w:r>
        <w:rPr>
          <w:rFonts w:hint="eastAsia" w:ascii="Times New Roman"/>
          <w:lang w:val="en-US" w:eastAsia="zh-CN"/>
        </w:rPr>
        <w:t>指标</w:t>
      </w:r>
      <w:r>
        <w:rPr>
          <w:rFonts w:hint="eastAsia" w:ascii="Times New Roman"/>
        </w:rPr>
        <w:t>。定量指标应统一计算方法，数据要求准确、统一、真实，必要时，对数据来源和数据质量进行分析和说明</w:t>
      </w:r>
      <w:bookmarkEnd w:id="99"/>
      <w:bookmarkStart w:id="100" w:name="_Toc171928198"/>
      <w:r>
        <w:rPr>
          <w:rFonts w:hint="eastAsia" w:ascii="Times New Roman"/>
          <w:lang w:eastAsia="zh-CN"/>
        </w:rPr>
        <w:t>；</w:t>
      </w:r>
      <w:r>
        <w:rPr>
          <w:rFonts w:hint="eastAsia" w:ascii="Times New Roman"/>
        </w:rPr>
        <w:t>定性评价指标应说明评价的依据。</w:t>
      </w:r>
      <w:bookmarkEnd w:id="100"/>
    </w:p>
    <w:p w14:paraId="631CCF45">
      <w:pPr>
        <w:pStyle w:val="51"/>
        <w:spacing w:before="156" w:after="156"/>
      </w:pPr>
      <w:bookmarkStart w:id="101" w:name="_Toc171929301"/>
      <w:bookmarkStart w:id="102" w:name="_Toc171928199"/>
      <w:bookmarkStart w:id="103" w:name="_Toc2193"/>
      <w:r>
        <w:rPr>
          <w:rFonts w:hint="eastAsia"/>
        </w:rPr>
        <w:t>5.7 评价过程</w:t>
      </w:r>
      <w:bookmarkEnd w:id="97"/>
      <w:bookmarkEnd w:id="101"/>
      <w:bookmarkEnd w:id="102"/>
      <w:bookmarkEnd w:id="103"/>
    </w:p>
    <w:p w14:paraId="2FC1A035">
      <w:pPr>
        <w:pStyle w:val="26"/>
        <w:rPr>
          <w:rFonts w:ascii="Times New Roman"/>
        </w:rPr>
      </w:pPr>
      <w:r>
        <w:rPr>
          <w:rFonts w:hint="eastAsia" w:ascii="Times New Roman"/>
        </w:rPr>
        <w:t>第三方评价过程应根据评价流程（</w:t>
      </w:r>
      <w:r>
        <w:rPr>
          <w:rFonts w:hint="eastAsia" w:ascii="Times New Roman"/>
          <w:lang w:val="en-US" w:eastAsia="zh-CN"/>
        </w:rPr>
        <w:t>按</w:t>
      </w:r>
      <w:r>
        <w:rPr>
          <w:rFonts w:hint="eastAsia" w:ascii="Times New Roman"/>
        </w:rPr>
        <w:t>附录B</w:t>
      </w:r>
      <w:r>
        <w:rPr>
          <w:rStyle w:val="44"/>
          <w:rFonts w:hint="eastAsia" w:ascii="Times New Roman"/>
          <w:kern w:val="2"/>
          <w:lang w:val="en-US" w:eastAsia="zh-CN"/>
        </w:rPr>
        <w:t>流程执行</w:t>
      </w:r>
      <w:r>
        <w:rPr>
          <w:rFonts w:hint="eastAsia" w:ascii="Times New Roman"/>
        </w:rPr>
        <w:t>，企业自我评价和第二方评价流程可适当简化）和企业绿色供应链管理关键环节，收集评价信息，核实各种信息的可靠性、合理性和合规性，进行综合评价，主要过程：</w:t>
      </w:r>
    </w:p>
    <w:p w14:paraId="4D46EC14">
      <w:pPr>
        <w:pStyle w:val="26"/>
        <w:rPr>
          <w:rFonts w:ascii="Times New Roman"/>
        </w:rPr>
      </w:pPr>
      <w:r>
        <w:rPr>
          <w:rFonts w:hint="eastAsia" w:ascii="Times New Roman"/>
        </w:rPr>
        <w:t>——查看资质文件、管理文件、报告文件、统计报表、原始记录；</w:t>
      </w:r>
    </w:p>
    <w:p w14:paraId="20159732">
      <w:pPr>
        <w:pStyle w:val="26"/>
        <w:rPr>
          <w:rFonts w:ascii="Times New Roman"/>
        </w:rPr>
      </w:pPr>
      <w:r>
        <w:rPr>
          <w:rFonts w:hint="eastAsia" w:ascii="Times New Roman"/>
        </w:rPr>
        <w:t>——根据实际情况，开展对相关人员的访谈；</w:t>
      </w:r>
    </w:p>
    <w:p w14:paraId="369CA56F">
      <w:pPr>
        <w:pStyle w:val="26"/>
        <w:rPr>
          <w:rFonts w:ascii="Times New Roman"/>
        </w:rPr>
      </w:pPr>
      <w:r>
        <w:rPr>
          <w:rFonts w:hint="eastAsia" w:ascii="Times New Roman"/>
        </w:rPr>
        <w:t>——实地调查、抽样调查；</w:t>
      </w:r>
    </w:p>
    <w:p w14:paraId="5A58AFFE">
      <w:pPr>
        <w:pStyle w:val="26"/>
        <w:rPr>
          <w:rFonts w:ascii="Times New Roman"/>
        </w:rPr>
      </w:pPr>
      <w:r>
        <w:rPr>
          <w:rFonts w:hint="eastAsia" w:ascii="Times New Roman"/>
        </w:rPr>
        <w:t>——对评价证据进行分析；</w:t>
      </w:r>
    </w:p>
    <w:p w14:paraId="5B3FF3AC">
      <w:pPr>
        <w:pStyle w:val="26"/>
        <w:rPr>
          <w:rFonts w:ascii="Times New Roman"/>
        </w:rPr>
      </w:pPr>
      <w:r>
        <w:rPr>
          <w:rFonts w:hint="eastAsia" w:ascii="Times New Roman"/>
        </w:rPr>
        <w:t>——</w:t>
      </w:r>
      <w:r>
        <w:rPr>
          <w:rFonts w:ascii="Times New Roman"/>
        </w:rPr>
        <w:t>评价企业是否满足评价指标要求。</w:t>
      </w:r>
    </w:p>
    <w:p w14:paraId="2A5240CC">
      <w:pPr>
        <w:pStyle w:val="51"/>
        <w:spacing w:before="156" w:after="156"/>
      </w:pPr>
      <w:bookmarkStart w:id="104" w:name="_Toc171928200"/>
      <w:bookmarkStart w:id="105" w:name="_Toc167095781"/>
      <w:bookmarkStart w:id="106" w:name="_Toc30043"/>
      <w:bookmarkStart w:id="107" w:name="_Toc171929302"/>
      <w:r>
        <w:rPr>
          <w:rFonts w:hint="eastAsia"/>
        </w:rPr>
        <w:t>5.8  评价结果</w:t>
      </w:r>
      <w:bookmarkEnd w:id="104"/>
      <w:bookmarkEnd w:id="105"/>
      <w:bookmarkEnd w:id="106"/>
      <w:bookmarkEnd w:id="107"/>
    </w:p>
    <w:p w14:paraId="0949F639">
      <w:pPr>
        <w:pStyle w:val="3"/>
        <w:spacing w:before="0" w:after="0" w:line="360" w:lineRule="auto"/>
        <w:rPr>
          <w:b w:val="0"/>
          <w:sz w:val="21"/>
          <w:szCs w:val="21"/>
        </w:rPr>
      </w:pPr>
      <w:bookmarkStart w:id="108" w:name="_Toc171929303"/>
      <w:bookmarkStart w:id="109" w:name="_Toc167095782"/>
      <w:bookmarkStart w:id="110" w:name="_Toc3392"/>
      <w:bookmarkStart w:id="111" w:name="_Toc171928201"/>
      <w:r>
        <w:rPr>
          <w:rFonts w:hint="eastAsia"/>
          <w:b w:val="0"/>
          <w:sz w:val="21"/>
          <w:szCs w:val="21"/>
        </w:rPr>
        <w:t>5.8.1 评分计算方法</w:t>
      </w:r>
      <w:bookmarkEnd w:id="108"/>
      <w:bookmarkEnd w:id="109"/>
      <w:bookmarkEnd w:id="110"/>
      <w:bookmarkEnd w:id="111"/>
    </w:p>
    <w:p w14:paraId="163CCDB5">
      <w:pPr>
        <w:pStyle w:val="26"/>
        <w:rPr>
          <w:rFonts w:ascii="Times New Roman"/>
        </w:rPr>
      </w:pPr>
      <w:r>
        <w:rPr>
          <w:rFonts w:ascii="Times New Roman"/>
        </w:rPr>
        <w:t>被评价企业必须满足评价基本要求（详见表</w:t>
      </w:r>
      <w:r>
        <w:rPr>
          <w:rFonts w:hint="eastAsia" w:ascii="Times New Roman"/>
        </w:rPr>
        <w:t>1</w:t>
      </w:r>
      <w:r>
        <w:rPr>
          <w:rFonts w:ascii="Times New Roman"/>
        </w:rPr>
        <w:t>），</w:t>
      </w:r>
      <w:r>
        <w:rPr>
          <w:rFonts w:hint="eastAsia" w:ascii="Times New Roman"/>
        </w:rPr>
        <w:t>如果</w:t>
      </w:r>
      <w:r>
        <w:rPr>
          <w:rFonts w:ascii="Times New Roman"/>
        </w:rPr>
        <w:t>不满足，不能评为白酒行业绿色供应链合格企业。</w:t>
      </w:r>
    </w:p>
    <w:p w14:paraId="3C494B5F">
      <w:pPr>
        <w:pStyle w:val="26"/>
        <w:rPr>
          <w:rFonts w:ascii="Times New Roman"/>
        </w:rPr>
      </w:pPr>
      <w:r>
        <w:rPr>
          <w:rFonts w:hint="eastAsia" w:ascii="Times New Roman"/>
        </w:rPr>
        <w:t>白酒行业绿色供应链管理指数的计算公式如下：</w:t>
      </w:r>
    </w:p>
    <w:p w14:paraId="4D59BB3E">
      <w:pPr>
        <w:pStyle w:val="26"/>
        <w:rPr>
          <w:rFonts w:ascii="Times New Roman"/>
        </w:rPr>
      </w:pPr>
      <w:r>
        <w:rPr>
          <w:rFonts w:hint="eastAsia" w:ascii="Times New Roman"/>
        </w:rPr>
        <w:t>MGSCI=X11+X12+X13+X21+X22+X23+X24+X25+X26+X31+X32+X33+X34+X41+X42+X43+X51+X61+X62+X63，式中MGSCI为白酒行业绿色供应链管理指数。</w:t>
      </w:r>
    </w:p>
    <w:p w14:paraId="3EE5FF33">
      <w:pPr>
        <w:pStyle w:val="3"/>
        <w:spacing w:before="0" w:after="0" w:line="360" w:lineRule="auto"/>
        <w:rPr>
          <w:b w:val="0"/>
          <w:sz w:val="21"/>
          <w:szCs w:val="21"/>
        </w:rPr>
      </w:pPr>
      <w:bookmarkStart w:id="112" w:name="_Toc171929304"/>
      <w:bookmarkStart w:id="113" w:name="_Toc26421"/>
      <w:bookmarkStart w:id="114" w:name="_Toc171928202"/>
      <w:bookmarkStart w:id="115" w:name="_Toc167095783"/>
      <w:r>
        <w:rPr>
          <w:rFonts w:hint="eastAsia"/>
          <w:b w:val="0"/>
          <w:sz w:val="21"/>
          <w:szCs w:val="21"/>
        </w:rPr>
        <w:t>5.8 2  评价结论</w:t>
      </w:r>
      <w:bookmarkEnd w:id="112"/>
      <w:bookmarkEnd w:id="113"/>
      <w:bookmarkEnd w:id="114"/>
      <w:bookmarkEnd w:id="115"/>
    </w:p>
    <w:p w14:paraId="1848366F">
      <w:pPr>
        <w:pStyle w:val="26"/>
        <w:rPr>
          <w:rFonts w:ascii="Times New Roman"/>
        </w:rPr>
      </w:pPr>
      <w:r>
        <w:rPr>
          <w:rFonts w:hint="eastAsia" w:ascii="Times New Roman"/>
        </w:rPr>
        <w:t>白酒行业绿色供应链管理评价，依据MGSCI为白酒行业绿色供应链管理指数得分情况，评价结论分为合格和不合格。其中合格共分为5个等级，详见表3。</w:t>
      </w:r>
    </w:p>
    <w:p w14:paraId="300585F1">
      <w:pPr>
        <w:pStyle w:val="26"/>
        <w:ind w:firstLine="0" w:firstLineChars="0"/>
        <w:jc w:val="center"/>
        <w:rPr>
          <w:rFonts w:ascii="Times New Roman"/>
        </w:rPr>
      </w:pPr>
      <w:r>
        <w:rPr>
          <w:rFonts w:ascii="Times New Roman"/>
        </w:rPr>
        <w:t>表3 评价等级划分</w:t>
      </w: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09"/>
        <w:gridCol w:w="3261"/>
        <w:gridCol w:w="4500"/>
      </w:tblGrid>
      <w:tr w14:paraId="595F2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Align w:val="center"/>
          </w:tcPr>
          <w:p w14:paraId="60C64FDF">
            <w:pPr>
              <w:pStyle w:val="26"/>
              <w:ind w:firstLine="0" w:firstLineChars="0"/>
              <w:jc w:val="center"/>
              <w:rPr>
                <w:rFonts w:ascii="Times New Roman"/>
                <w:szCs w:val="18"/>
              </w:rPr>
            </w:pPr>
            <w:r>
              <w:rPr>
                <w:rFonts w:ascii="Times New Roman"/>
                <w:szCs w:val="18"/>
              </w:rPr>
              <w:t>评价结果</w:t>
            </w:r>
          </w:p>
        </w:tc>
        <w:tc>
          <w:tcPr>
            <w:tcW w:w="3261" w:type="dxa"/>
          </w:tcPr>
          <w:p w14:paraId="526498EC">
            <w:pPr>
              <w:pStyle w:val="26"/>
              <w:ind w:firstLine="0" w:firstLineChars="0"/>
              <w:jc w:val="center"/>
              <w:rPr>
                <w:rFonts w:ascii="Times New Roman"/>
                <w:szCs w:val="18"/>
              </w:rPr>
            </w:pPr>
            <w:r>
              <w:rPr>
                <w:rFonts w:ascii="Times New Roman"/>
                <w:szCs w:val="18"/>
              </w:rPr>
              <w:t>评价等级</w:t>
            </w:r>
          </w:p>
        </w:tc>
        <w:tc>
          <w:tcPr>
            <w:tcW w:w="4500" w:type="dxa"/>
          </w:tcPr>
          <w:p w14:paraId="49DC53ED">
            <w:pPr>
              <w:pStyle w:val="26"/>
              <w:ind w:firstLine="0" w:firstLineChars="0"/>
              <w:jc w:val="center"/>
              <w:rPr>
                <w:rFonts w:ascii="Times New Roman"/>
                <w:szCs w:val="18"/>
              </w:rPr>
            </w:pPr>
            <w:r>
              <w:rPr>
                <w:rFonts w:ascii="Times New Roman"/>
                <w:szCs w:val="18"/>
              </w:rPr>
              <w:t>MGSCI得分情况</w:t>
            </w:r>
          </w:p>
        </w:tc>
      </w:tr>
      <w:tr w14:paraId="6C1B5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Merge w:val="restart"/>
            <w:vAlign w:val="center"/>
          </w:tcPr>
          <w:p w14:paraId="3451C13F">
            <w:pPr>
              <w:pStyle w:val="26"/>
              <w:ind w:firstLine="0" w:firstLineChars="0"/>
              <w:jc w:val="center"/>
              <w:rPr>
                <w:rFonts w:ascii="Times New Roman"/>
                <w:szCs w:val="18"/>
              </w:rPr>
            </w:pPr>
            <w:r>
              <w:rPr>
                <w:rFonts w:ascii="Times New Roman"/>
                <w:szCs w:val="18"/>
              </w:rPr>
              <w:t>合格</w:t>
            </w:r>
          </w:p>
        </w:tc>
        <w:tc>
          <w:tcPr>
            <w:tcW w:w="3261" w:type="dxa"/>
          </w:tcPr>
          <w:p w14:paraId="44255251">
            <w:pPr>
              <w:pStyle w:val="26"/>
              <w:ind w:firstLine="0" w:firstLineChars="0"/>
              <w:jc w:val="center"/>
              <w:rPr>
                <w:rFonts w:ascii="Times New Roman"/>
                <w:szCs w:val="18"/>
              </w:rPr>
            </w:pPr>
            <w:r>
              <w:rPr>
                <w:rFonts w:ascii="Times New Roman"/>
                <w:szCs w:val="18"/>
              </w:rPr>
              <w:t>五星</w:t>
            </w:r>
          </w:p>
        </w:tc>
        <w:tc>
          <w:tcPr>
            <w:tcW w:w="4500" w:type="dxa"/>
          </w:tcPr>
          <w:p w14:paraId="4921E354">
            <w:pPr>
              <w:pStyle w:val="26"/>
              <w:ind w:firstLine="0" w:firstLineChars="0"/>
              <w:jc w:val="center"/>
              <w:rPr>
                <w:rFonts w:ascii="Times New Roman"/>
                <w:szCs w:val="18"/>
              </w:rPr>
            </w:pPr>
            <w:r>
              <w:rPr>
                <w:rFonts w:hint="eastAsia" w:ascii="Times New Roman"/>
                <w:szCs w:val="18"/>
              </w:rPr>
              <w:t>基本要求符合，且</w:t>
            </w:r>
            <w:r>
              <w:rPr>
                <w:rFonts w:ascii="Times New Roman"/>
                <w:szCs w:val="18"/>
              </w:rPr>
              <w:t>MGSCI≥9</w:t>
            </w:r>
            <w:r>
              <w:rPr>
                <w:rFonts w:hint="eastAsia" w:ascii="Times New Roman"/>
                <w:szCs w:val="18"/>
              </w:rPr>
              <w:t>5</w:t>
            </w:r>
          </w:p>
        </w:tc>
      </w:tr>
      <w:tr w14:paraId="1E7EA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Merge w:val="continue"/>
            <w:vAlign w:val="center"/>
          </w:tcPr>
          <w:p w14:paraId="3BE4ED9A">
            <w:pPr>
              <w:pStyle w:val="26"/>
              <w:ind w:firstLine="0" w:firstLineChars="0"/>
              <w:jc w:val="center"/>
              <w:rPr>
                <w:rFonts w:ascii="Times New Roman"/>
                <w:szCs w:val="18"/>
              </w:rPr>
            </w:pPr>
          </w:p>
        </w:tc>
        <w:tc>
          <w:tcPr>
            <w:tcW w:w="3261" w:type="dxa"/>
          </w:tcPr>
          <w:p w14:paraId="688015F7">
            <w:pPr>
              <w:pStyle w:val="26"/>
              <w:ind w:firstLine="0" w:firstLineChars="0"/>
              <w:jc w:val="center"/>
              <w:rPr>
                <w:rFonts w:ascii="Times New Roman"/>
                <w:szCs w:val="18"/>
              </w:rPr>
            </w:pPr>
            <w:r>
              <w:rPr>
                <w:rFonts w:ascii="Times New Roman"/>
                <w:szCs w:val="18"/>
              </w:rPr>
              <w:t>四星</w:t>
            </w:r>
          </w:p>
        </w:tc>
        <w:tc>
          <w:tcPr>
            <w:tcW w:w="4500" w:type="dxa"/>
          </w:tcPr>
          <w:p w14:paraId="341CD59D">
            <w:pPr>
              <w:pStyle w:val="26"/>
              <w:ind w:firstLine="0" w:firstLineChars="0"/>
              <w:jc w:val="center"/>
              <w:rPr>
                <w:rFonts w:ascii="Times New Roman"/>
                <w:szCs w:val="18"/>
              </w:rPr>
            </w:pPr>
            <w:r>
              <w:rPr>
                <w:rFonts w:hint="eastAsia" w:ascii="Times New Roman"/>
                <w:szCs w:val="18"/>
              </w:rPr>
              <w:t>基本要求符合，且95&gt;MGSCI≥85</w:t>
            </w:r>
          </w:p>
        </w:tc>
      </w:tr>
      <w:tr w14:paraId="51ED3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Merge w:val="continue"/>
            <w:vAlign w:val="center"/>
          </w:tcPr>
          <w:p w14:paraId="5F825417">
            <w:pPr>
              <w:pStyle w:val="26"/>
              <w:ind w:firstLine="0" w:firstLineChars="0"/>
              <w:jc w:val="center"/>
              <w:rPr>
                <w:rFonts w:ascii="Times New Roman"/>
                <w:szCs w:val="18"/>
              </w:rPr>
            </w:pPr>
          </w:p>
        </w:tc>
        <w:tc>
          <w:tcPr>
            <w:tcW w:w="3261" w:type="dxa"/>
          </w:tcPr>
          <w:p w14:paraId="6464530C">
            <w:pPr>
              <w:pStyle w:val="26"/>
              <w:ind w:firstLine="0" w:firstLineChars="0"/>
              <w:jc w:val="center"/>
              <w:rPr>
                <w:rFonts w:ascii="Times New Roman"/>
                <w:szCs w:val="18"/>
              </w:rPr>
            </w:pPr>
            <w:r>
              <w:rPr>
                <w:rFonts w:ascii="Times New Roman"/>
                <w:szCs w:val="18"/>
              </w:rPr>
              <w:t>三星</w:t>
            </w:r>
          </w:p>
        </w:tc>
        <w:tc>
          <w:tcPr>
            <w:tcW w:w="4500" w:type="dxa"/>
          </w:tcPr>
          <w:p w14:paraId="3346DBA3">
            <w:pPr>
              <w:pStyle w:val="26"/>
              <w:ind w:firstLine="0" w:firstLineChars="0"/>
              <w:jc w:val="center"/>
              <w:rPr>
                <w:rFonts w:ascii="Times New Roman"/>
                <w:szCs w:val="18"/>
              </w:rPr>
            </w:pPr>
            <w:r>
              <w:rPr>
                <w:rFonts w:hint="eastAsia" w:ascii="Times New Roman"/>
                <w:szCs w:val="18"/>
              </w:rPr>
              <w:t>基本要求符合，且85&gt;MGSCI≥75</w:t>
            </w:r>
          </w:p>
        </w:tc>
      </w:tr>
      <w:tr w14:paraId="4CBE2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Merge w:val="continue"/>
            <w:vAlign w:val="center"/>
          </w:tcPr>
          <w:p w14:paraId="0A033C3F">
            <w:pPr>
              <w:pStyle w:val="26"/>
              <w:ind w:firstLine="0" w:firstLineChars="0"/>
              <w:jc w:val="center"/>
              <w:rPr>
                <w:rFonts w:ascii="Times New Roman"/>
                <w:szCs w:val="18"/>
              </w:rPr>
            </w:pPr>
          </w:p>
        </w:tc>
        <w:tc>
          <w:tcPr>
            <w:tcW w:w="3261" w:type="dxa"/>
          </w:tcPr>
          <w:p w14:paraId="4CE63255">
            <w:pPr>
              <w:pStyle w:val="26"/>
              <w:ind w:firstLine="0" w:firstLineChars="0"/>
              <w:jc w:val="center"/>
              <w:rPr>
                <w:rFonts w:ascii="Times New Roman"/>
                <w:szCs w:val="18"/>
              </w:rPr>
            </w:pPr>
            <w:r>
              <w:rPr>
                <w:rFonts w:ascii="Times New Roman"/>
                <w:szCs w:val="18"/>
              </w:rPr>
              <w:t>二星</w:t>
            </w:r>
          </w:p>
        </w:tc>
        <w:tc>
          <w:tcPr>
            <w:tcW w:w="4500" w:type="dxa"/>
          </w:tcPr>
          <w:p w14:paraId="196C8C80">
            <w:pPr>
              <w:pStyle w:val="26"/>
              <w:ind w:firstLine="0" w:firstLineChars="0"/>
              <w:jc w:val="center"/>
              <w:rPr>
                <w:rFonts w:ascii="Times New Roman"/>
                <w:szCs w:val="18"/>
              </w:rPr>
            </w:pPr>
            <w:r>
              <w:rPr>
                <w:rFonts w:hint="eastAsia" w:ascii="Times New Roman"/>
                <w:szCs w:val="18"/>
              </w:rPr>
              <w:t>基本要求符合，且75&gt;MGSCI≥65</w:t>
            </w:r>
          </w:p>
        </w:tc>
      </w:tr>
      <w:tr w14:paraId="2A1F5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Merge w:val="continue"/>
            <w:vAlign w:val="center"/>
          </w:tcPr>
          <w:p w14:paraId="7345B690">
            <w:pPr>
              <w:pStyle w:val="26"/>
              <w:ind w:firstLine="0" w:firstLineChars="0"/>
              <w:jc w:val="center"/>
              <w:rPr>
                <w:rFonts w:ascii="Times New Roman"/>
                <w:szCs w:val="18"/>
              </w:rPr>
            </w:pPr>
          </w:p>
        </w:tc>
        <w:tc>
          <w:tcPr>
            <w:tcW w:w="3261" w:type="dxa"/>
          </w:tcPr>
          <w:p w14:paraId="248C94D0">
            <w:pPr>
              <w:pStyle w:val="26"/>
              <w:ind w:firstLine="0" w:firstLineChars="0"/>
              <w:jc w:val="center"/>
              <w:rPr>
                <w:rFonts w:ascii="Times New Roman"/>
                <w:szCs w:val="18"/>
              </w:rPr>
            </w:pPr>
            <w:r>
              <w:rPr>
                <w:rFonts w:ascii="Times New Roman"/>
                <w:szCs w:val="18"/>
              </w:rPr>
              <w:t>一星</w:t>
            </w:r>
          </w:p>
        </w:tc>
        <w:tc>
          <w:tcPr>
            <w:tcW w:w="4500" w:type="dxa"/>
          </w:tcPr>
          <w:p w14:paraId="2E50E884">
            <w:pPr>
              <w:pStyle w:val="26"/>
              <w:ind w:firstLine="0" w:firstLineChars="0"/>
              <w:jc w:val="center"/>
              <w:rPr>
                <w:rFonts w:ascii="Times New Roman"/>
                <w:szCs w:val="18"/>
              </w:rPr>
            </w:pPr>
            <w:r>
              <w:rPr>
                <w:rFonts w:hint="eastAsia" w:ascii="Times New Roman"/>
                <w:szCs w:val="18"/>
              </w:rPr>
              <w:t>基本要求符合，且65&gt;MGSCI≥60</w:t>
            </w:r>
          </w:p>
        </w:tc>
      </w:tr>
      <w:tr w14:paraId="1947E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vAlign w:val="center"/>
          </w:tcPr>
          <w:p w14:paraId="62F121B3">
            <w:pPr>
              <w:pStyle w:val="26"/>
              <w:ind w:firstLine="0" w:firstLineChars="0"/>
              <w:jc w:val="center"/>
              <w:rPr>
                <w:rFonts w:ascii="Times New Roman"/>
                <w:szCs w:val="18"/>
              </w:rPr>
            </w:pPr>
            <w:r>
              <w:rPr>
                <w:rFonts w:ascii="Times New Roman"/>
                <w:szCs w:val="18"/>
              </w:rPr>
              <w:t>不合格</w:t>
            </w:r>
          </w:p>
        </w:tc>
        <w:tc>
          <w:tcPr>
            <w:tcW w:w="3261" w:type="dxa"/>
            <w:vAlign w:val="center"/>
          </w:tcPr>
          <w:p w14:paraId="3FE5D3A9">
            <w:pPr>
              <w:pStyle w:val="26"/>
              <w:ind w:firstLine="0" w:firstLineChars="0"/>
              <w:jc w:val="center"/>
              <w:rPr>
                <w:rFonts w:ascii="Times New Roman"/>
                <w:szCs w:val="18"/>
              </w:rPr>
            </w:pPr>
            <w:r>
              <w:rPr>
                <w:rFonts w:hint="eastAsia" w:ascii="Times New Roman"/>
                <w:szCs w:val="18"/>
              </w:rPr>
              <w:t>/</w:t>
            </w:r>
          </w:p>
        </w:tc>
        <w:tc>
          <w:tcPr>
            <w:tcW w:w="4500" w:type="dxa"/>
            <w:vAlign w:val="center"/>
          </w:tcPr>
          <w:p w14:paraId="4ADC9323">
            <w:pPr>
              <w:widowControl/>
              <w:kinsoku w:val="0"/>
              <w:autoSpaceDE w:val="0"/>
              <w:autoSpaceDN w:val="0"/>
              <w:adjustRightInd w:val="0"/>
              <w:snapToGrid w:val="0"/>
              <w:jc w:val="center"/>
              <w:textAlignment w:val="baseline"/>
              <w:rPr>
                <w:rFonts w:ascii="宋体"/>
                <w:kern w:val="0"/>
                <w:szCs w:val="18"/>
              </w:rPr>
            </w:pPr>
            <w:r>
              <w:rPr>
                <w:rFonts w:hint="eastAsia" w:ascii="Times New Roman" w:hAnsi="Times New Roman" w:eastAsia="宋体" w:cs="Times New Roman"/>
                <w:kern w:val="0"/>
                <w:sz w:val="21"/>
                <w:szCs w:val="18"/>
                <w:lang w:val="en-US" w:eastAsia="zh-CN" w:bidi="ar-SA"/>
              </w:rPr>
              <w:t>基本要求不符合要求；或MGSCI&lt;60</w:t>
            </w:r>
          </w:p>
        </w:tc>
      </w:tr>
    </w:tbl>
    <w:p w14:paraId="338CB747">
      <w:pPr>
        <w:pStyle w:val="55"/>
        <w:numPr>
          <w:ilvl w:val="0"/>
          <w:numId w:val="18"/>
        </w:numPr>
        <w:spacing w:before="312" w:after="312"/>
      </w:pPr>
      <w:bookmarkStart w:id="116" w:name="_Toc32539"/>
      <w:r>
        <w:rPr>
          <w:rFonts w:hint="eastAsia"/>
        </w:rPr>
        <w:t>评价报告</w:t>
      </w:r>
      <w:bookmarkEnd w:id="116"/>
    </w:p>
    <w:p w14:paraId="2127BEAA">
      <w:pPr>
        <w:pStyle w:val="51"/>
        <w:spacing w:before="156" w:after="156"/>
      </w:pPr>
      <w:bookmarkStart w:id="117" w:name="_Toc26117"/>
      <w:bookmarkStart w:id="118" w:name="_Toc167095785"/>
      <w:bookmarkStart w:id="119" w:name="_Toc171929306"/>
      <w:bookmarkStart w:id="120" w:name="_Toc171928204"/>
      <w:r>
        <w:rPr>
          <w:rFonts w:hint="eastAsia"/>
        </w:rPr>
        <w:t>6.1 评价报告内容及要求</w:t>
      </w:r>
      <w:bookmarkEnd w:id="117"/>
      <w:bookmarkEnd w:id="118"/>
      <w:bookmarkEnd w:id="119"/>
      <w:bookmarkEnd w:id="120"/>
    </w:p>
    <w:p w14:paraId="48CCDAAC">
      <w:pPr>
        <w:pStyle w:val="26"/>
        <w:rPr>
          <w:rFonts w:ascii="Times New Roman"/>
        </w:rPr>
      </w:pPr>
      <w:r>
        <w:rPr>
          <w:rFonts w:hint="eastAsia" w:ascii="Times New Roman"/>
        </w:rPr>
        <w:t>白酒企业绿色供应链管理评价报告应充分体现评价组在现场开展评价的实施过程，内容简要、证据充分支撑评价结论。针对每一项评价条款的要求，详细阐述评价的过程和判定企业符合情况的充分依据，对引用的关键内容给出证据文件来源，对计算给出详细的计算过程和数据依据，做到证据和信息可信、内容精要、判定准确。</w:t>
      </w:r>
    </w:p>
    <w:p w14:paraId="492B2CB9">
      <w:pPr>
        <w:pStyle w:val="26"/>
        <w:rPr>
          <w:rFonts w:ascii="Times New Roman"/>
        </w:rPr>
      </w:pPr>
      <w:r>
        <w:rPr>
          <w:rFonts w:hint="eastAsia" w:ascii="Times New Roman"/>
        </w:rPr>
        <w:t>评价报告应包括（不限于）以下内容：</w:t>
      </w:r>
    </w:p>
    <w:p w14:paraId="49FE5D19">
      <w:pPr>
        <w:pStyle w:val="26"/>
        <w:rPr>
          <w:rFonts w:ascii="Times New Roman"/>
        </w:rPr>
      </w:pPr>
      <w:r>
        <w:rPr>
          <w:rFonts w:hint="eastAsia" w:ascii="Times New Roman"/>
        </w:rPr>
        <w:t>——企业产品及工艺过程简述；</w:t>
      </w:r>
    </w:p>
    <w:p w14:paraId="3AF62E18">
      <w:pPr>
        <w:pStyle w:val="26"/>
        <w:rPr>
          <w:rFonts w:ascii="Times New Roman"/>
        </w:rPr>
      </w:pPr>
      <w:r>
        <w:rPr>
          <w:rFonts w:hint="eastAsia" w:ascii="Times New Roman"/>
        </w:rPr>
        <w:t>——供应链管理及其绿色性指标；</w:t>
      </w:r>
    </w:p>
    <w:p w14:paraId="0E5B36A6">
      <w:pPr>
        <w:pStyle w:val="26"/>
        <w:rPr>
          <w:rFonts w:ascii="Times New Roman"/>
        </w:rPr>
      </w:pPr>
      <w:r>
        <w:rPr>
          <w:rFonts w:hint="eastAsia" w:ascii="Times New Roman"/>
        </w:rPr>
        <w:t>——评价信息（评价范围、评价数据来源、评价依据和记录等）；</w:t>
      </w:r>
    </w:p>
    <w:p w14:paraId="366F697F">
      <w:pPr>
        <w:pStyle w:val="26"/>
        <w:rPr>
          <w:rFonts w:ascii="Times New Roman"/>
        </w:rPr>
      </w:pPr>
      <w:r>
        <w:rPr>
          <w:rFonts w:hint="eastAsia" w:ascii="Times New Roman"/>
        </w:rPr>
        <w:t>——评价方法、指标选取、指标权重和分值、结果解释等其他说明；</w:t>
      </w:r>
    </w:p>
    <w:p w14:paraId="53DC2659">
      <w:pPr>
        <w:pStyle w:val="26"/>
        <w:rPr>
          <w:rFonts w:ascii="Times New Roman"/>
        </w:rPr>
      </w:pPr>
      <w:r>
        <w:rPr>
          <w:rFonts w:hint="eastAsia" w:ascii="Times New Roman"/>
        </w:rPr>
        <w:t>——数据来源和数据分析说明；</w:t>
      </w:r>
    </w:p>
    <w:p w14:paraId="162DFF4D">
      <w:pPr>
        <w:pStyle w:val="26"/>
        <w:rPr>
          <w:rFonts w:ascii="Times New Roman"/>
        </w:rPr>
      </w:pPr>
      <w:r>
        <w:rPr>
          <w:rFonts w:hint="eastAsia" w:ascii="Times New Roman"/>
        </w:rPr>
        <w:t>——评价结论及说明；</w:t>
      </w:r>
    </w:p>
    <w:p w14:paraId="7FA6D5C0">
      <w:pPr>
        <w:pStyle w:val="26"/>
        <w:rPr>
          <w:rFonts w:ascii="Times New Roman"/>
        </w:rPr>
      </w:pPr>
      <w:r>
        <w:rPr>
          <w:rFonts w:hint="eastAsia" w:ascii="Times New Roman"/>
        </w:rPr>
        <w:t>——问题及风险分析；</w:t>
      </w:r>
    </w:p>
    <w:p w14:paraId="6987DA89">
      <w:pPr>
        <w:pStyle w:val="26"/>
        <w:rPr>
          <w:rFonts w:ascii="Times New Roman"/>
        </w:rPr>
      </w:pPr>
      <w:r>
        <w:rPr>
          <w:rFonts w:hint="eastAsia" w:ascii="Times New Roman"/>
        </w:rPr>
        <w:t>——改进建议等。</w:t>
      </w:r>
    </w:p>
    <w:p w14:paraId="6C599CCB">
      <w:pPr>
        <w:pStyle w:val="51"/>
        <w:spacing w:before="156" w:after="156"/>
      </w:pPr>
      <w:bookmarkStart w:id="121" w:name="_Toc171928205"/>
      <w:bookmarkStart w:id="122" w:name="_Toc1448"/>
      <w:bookmarkStart w:id="123" w:name="_Toc167095786"/>
      <w:bookmarkStart w:id="124" w:name="_Toc171929307"/>
      <w:r>
        <w:rPr>
          <w:rFonts w:hint="eastAsia"/>
        </w:rPr>
        <w:t>6.2 评价报告责任要求</w:t>
      </w:r>
      <w:bookmarkEnd w:id="121"/>
      <w:bookmarkEnd w:id="122"/>
      <w:bookmarkEnd w:id="123"/>
      <w:bookmarkEnd w:id="124"/>
    </w:p>
    <w:p w14:paraId="6C2C24C7">
      <w:pPr>
        <w:pStyle w:val="26"/>
        <w:rPr>
          <w:rFonts w:ascii="Times New Roman"/>
        </w:rPr>
      </w:pPr>
      <w:r>
        <w:rPr>
          <w:rFonts w:ascii="Times New Roman"/>
        </w:rPr>
        <w:t>第三方评价机构对出具的绿色供应链管理评价报告负责，对报告内容的真实性承担责任。企业或相关方对评价报告内容有异议时，评价机构有责任进行解释说明。</w:t>
      </w:r>
    </w:p>
    <w:p w14:paraId="72C5F795">
      <w:pPr>
        <w:rPr>
          <w:rFonts w:eastAsia="黑体"/>
        </w:rPr>
        <w:sectPr>
          <w:pgSz w:w="11906" w:h="16838"/>
          <w:pgMar w:top="567" w:right="1134" w:bottom="1134" w:left="1418" w:header="1418" w:footer="1134" w:gutter="0"/>
          <w:pgNumType w:start="1"/>
          <w:cols w:space="720" w:num="1"/>
          <w:formProt w:val="0"/>
          <w:docGrid w:type="lines" w:linePitch="312" w:charSpace="0"/>
        </w:sectPr>
      </w:pPr>
    </w:p>
    <w:p w14:paraId="50D6BFFA">
      <w:pPr>
        <w:pStyle w:val="55"/>
        <w:spacing w:before="312" w:after="312"/>
        <w:ind w:left="420"/>
        <w:jc w:val="center"/>
        <w:rPr>
          <w:rFonts w:ascii="Times New Roman"/>
        </w:rPr>
      </w:pPr>
      <w:bookmarkStart w:id="125" w:name="_Toc18700"/>
      <w:r>
        <w:rPr>
          <w:rFonts w:hint="eastAsia" w:ascii="Times New Roman"/>
        </w:rPr>
        <w:t xml:space="preserve">附  录A </w:t>
      </w:r>
    </w:p>
    <w:p w14:paraId="0DDD5A76">
      <w:pPr>
        <w:pStyle w:val="55"/>
        <w:spacing w:before="312" w:after="312"/>
        <w:ind w:left="420"/>
        <w:jc w:val="center"/>
        <w:rPr>
          <w:rFonts w:ascii="Times New Roman"/>
        </w:rPr>
      </w:pPr>
      <w:r>
        <w:rPr>
          <w:rFonts w:hint="eastAsia" w:ascii="Times New Roman"/>
        </w:rPr>
        <w:t>（规范性）</w:t>
      </w:r>
      <w:bookmarkEnd w:id="125"/>
    </w:p>
    <w:p w14:paraId="33A46530">
      <w:pPr>
        <w:pStyle w:val="55"/>
        <w:spacing w:before="312" w:after="312"/>
        <w:ind w:left="420"/>
        <w:jc w:val="center"/>
        <w:rPr>
          <w:rFonts w:ascii="Times New Roman"/>
        </w:rPr>
      </w:pPr>
      <w:bookmarkStart w:id="126" w:name="_Toc31146"/>
      <w:r>
        <w:rPr>
          <w:rFonts w:hint="eastAsia" w:ascii="Times New Roman"/>
        </w:rPr>
        <w:t>白酒企业绿色供应链管理评价表</w:t>
      </w:r>
      <w:bookmarkEnd w:id="126"/>
    </w:p>
    <w:tbl>
      <w:tblPr>
        <w:tblStyle w:val="155"/>
        <w:tblpPr w:leftFromText="180" w:rightFromText="180" w:vertAnchor="text" w:horzAnchor="page" w:tblpX="1134" w:tblpY="946"/>
        <w:tblOverlap w:val="never"/>
        <w:tblW w:w="50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3"/>
        <w:gridCol w:w="851"/>
        <w:gridCol w:w="1422"/>
        <w:gridCol w:w="994"/>
        <w:gridCol w:w="851"/>
        <w:gridCol w:w="6841"/>
        <w:gridCol w:w="2273"/>
        <w:gridCol w:w="827"/>
      </w:tblGrid>
      <w:tr w14:paraId="094B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trPr>
        <w:tc>
          <w:tcPr>
            <w:tcW w:w="373" w:type="pct"/>
            <w:vMerge w:val="restart"/>
            <w:vAlign w:val="center"/>
          </w:tcPr>
          <w:p w14:paraId="01D71B9A">
            <w:pPr>
              <w:pStyle w:val="26"/>
              <w:ind w:firstLine="0" w:firstLineChars="0"/>
              <w:jc w:val="center"/>
              <w:rPr>
                <w:rFonts w:ascii="Times New Roman" w:eastAsia="Times New Roman"/>
              </w:rPr>
            </w:pPr>
            <w:r>
              <w:rPr>
                <w:rFonts w:ascii="Times New Roman" w:eastAsia="Times New Roman"/>
              </w:rPr>
              <w:t>一级指标</w:t>
            </w:r>
          </w:p>
        </w:tc>
        <w:tc>
          <w:tcPr>
            <w:tcW w:w="280" w:type="pct"/>
            <w:vMerge w:val="restart"/>
            <w:vAlign w:val="center"/>
          </w:tcPr>
          <w:p w14:paraId="5F0E7F67">
            <w:pPr>
              <w:pStyle w:val="26"/>
              <w:ind w:firstLine="0" w:firstLineChars="0"/>
              <w:jc w:val="center"/>
              <w:rPr>
                <w:rFonts w:ascii="Times New Roman" w:eastAsia="Times New Roman"/>
              </w:rPr>
            </w:pPr>
            <w:r>
              <w:rPr>
                <w:rFonts w:ascii="Times New Roman" w:eastAsia="Times New Roman"/>
              </w:rPr>
              <w:t>序号</w:t>
            </w:r>
          </w:p>
        </w:tc>
        <w:tc>
          <w:tcPr>
            <w:tcW w:w="3326" w:type="pct"/>
            <w:gridSpan w:val="4"/>
            <w:vAlign w:val="center"/>
          </w:tcPr>
          <w:p w14:paraId="34D43BAB">
            <w:pPr>
              <w:pStyle w:val="26"/>
              <w:jc w:val="center"/>
              <w:rPr>
                <w:rFonts w:ascii="Times New Roman" w:eastAsia="Times New Roman"/>
              </w:rPr>
            </w:pPr>
            <w:r>
              <w:rPr>
                <w:rFonts w:ascii="Times New Roman" w:eastAsia="Times New Roman"/>
              </w:rPr>
              <w:t>二级指标</w:t>
            </w:r>
          </w:p>
        </w:tc>
        <w:tc>
          <w:tcPr>
            <w:tcW w:w="748" w:type="pct"/>
            <w:vMerge w:val="restart"/>
            <w:vAlign w:val="center"/>
          </w:tcPr>
          <w:p w14:paraId="55CDB6D2">
            <w:pPr>
              <w:pStyle w:val="26"/>
              <w:ind w:firstLine="0" w:firstLineChars="0"/>
              <w:jc w:val="center"/>
              <w:rPr>
                <w:rFonts w:ascii="Times New Roman" w:eastAsia="Times New Roman"/>
              </w:rPr>
            </w:pPr>
            <w:r>
              <w:rPr>
                <w:rFonts w:hint="eastAsia" w:ascii="Times New Roman" w:eastAsia="Times New Roman"/>
              </w:rPr>
              <w:t>符合性说明及</w:t>
            </w:r>
          </w:p>
          <w:p w14:paraId="3BDB1D2E">
            <w:pPr>
              <w:pStyle w:val="26"/>
              <w:ind w:firstLine="0" w:firstLineChars="0"/>
              <w:jc w:val="center"/>
              <w:rPr>
                <w:rFonts w:ascii="Times New Roman" w:eastAsia="Times New Roman"/>
              </w:rPr>
            </w:pPr>
            <w:r>
              <w:rPr>
                <w:rFonts w:hint="eastAsia" w:ascii="Times New Roman" w:eastAsia="Times New Roman"/>
              </w:rPr>
              <w:t>证明材料索引</w:t>
            </w:r>
          </w:p>
        </w:tc>
        <w:tc>
          <w:tcPr>
            <w:tcW w:w="272" w:type="pct"/>
            <w:vMerge w:val="restart"/>
            <w:vAlign w:val="center"/>
          </w:tcPr>
          <w:p w14:paraId="4BA120C4">
            <w:pPr>
              <w:pStyle w:val="26"/>
              <w:ind w:firstLine="0" w:firstLineChars="0"/>
              <w:jc w:val="center"/>
              <w:rPr>
                <w:rFonts w:ascii="Times New Roman" w:eastAsia="Times New Roman"/>
              </w:rPr>
            </w:pPr>
            <w:r>
              <w:rPr>
                <w:rFonts w:ascii="Times New Roman" w:eastAsia="Times New Roman"/>
              </w:rPr>
              <w:t>企业</w:t>
            </w:r>
          </w:p>
          <w:p w14:paraId="13E97492">
            <w:pPr>
              <w:pStyle w:val="26"/>
              <w:ind w:firstLine="0" w:firstLineChars="0"/>
              <w:jc w:val="center"/>
              <w:rPr>
                <w:rFonts w:ascii="Times New Roman" w:eastAsia="Times New Roman"/>
              </w:rPr>
            </w:pPr>
            <w:r>
              <w:rPr>
                <w:rFonts w:ascii="Times New Roman" w:eastAsia="Times New Roman"/>
              </w:rPr>
              <w:t>得分</w:t>
            </w:r>
          </w:p>
        </w:tc>
      </w:tr>
      <w:tr w14:paraId="0235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6" w:hRule="atLeast"/>
        </w:trPr>
        <w:tc>
          <w:tcPr>
            <w:tcW w:w="373" w:type="pct"/>
            <w:vMerge w:val="continue"/>
            <w:vAlign w:val="center"/>
          </w:tcPr>
          <w:p w14:paraId="55450729">
            <w:pPr>
              <w:pStyle w:val="26"/>
              <w:rPr>
                <w:rFonts w:ascii="Times New Roman" w:eastAsia="Times New Roman"/>
              </w:rPr>
            </w:pPr>
          </w:p>
        </w:tc>
        <w:tc>
          <w:tcPr>
            <w:tcW w:w="280" w:type="pct"/>
            <w:vMerge w:val="continue"/>
            <w:vAlign w:val="center"/>
          </w:tcPr>
          <w:p w14:paraId="6A60423D">
            <w:pPr>
              <w:pStyle w:val="26"/>
              <w:rPr>
                <w:rFonts w:ascii="Times New Roman" w:eastAsia="Times New Roman"/>
              </w:rPr>
            </w:pPr>
          </w:p>
        </w:tc>
        <w:tc>
          <w:tcPr>
            <w:tcW w:w="468" w:type="pct"/>
            <w:vAlign w:val="center"/>
          </w:tcPr>
          <w:p w14:paraId="353F2447">
            <w:pPr>
              <w:pStyle w:val="26"/>
              <w:ind w:firstLine="0" w:firstLineChars="0"/>
              <w:jc w:val="center"/>
              <w:rPr>
                <w:rFonts w:ascii="Times New Roman" w:eastAsia="Times New Roman"/>
              </w:rPr>
            </w:pPr>
            <w:r>
              <w:rPr>
                <w:rFonts w:ascii="Times New Roman" w:eastAsia="Times New Roman"/>
              </w:rPr>
              <w:t>名称</w:t>
            </w:r>
          </w:p>
        </w:tc>
        <w:tc>
          <w:tcPr>
            <w:tcW w:w="327" w:type="pct"/>
            <w:vAlign w:val="center"/>
          </w:tcPr>
          <w:p w14:paraId="7D64E6AC">
            <w:pPr>
              <w:pStyle w:val="26"/>
              <w:ind w:firstLine="0" w:firstLineChars="0"/>
              <w:jc w:val="center"/>
              <w:rPr>
                <w:rFonts w:ascii="Times New Roman" w:eastAsia="Times New Roman"/>
              </w:rPr>
            </w:pPr>
            <w:r>
              <w:rPr>
                <w:rFonts w:ascii="Times New Roman" w:eastAsia="Times New Roman"/>
              </w:rPr>
              <w:t>最高</w:t>
            </w:r>
          </w:p>
          <w:p w14:paraId="0B7E6BBE">
            <w:pPr>
              <w:pStyle w:val="26"/>
              <w:ind w:firstLine="0" w:firstLineChars="0"/>
              <w:jc w:val="center"/>
              <w:rPr>
                <w:rFonts w:ascii="Times New Roman" w:eastAsia="Times New Roman"/>
              </w:rPr>
            </w:pPr>
            <w:r>
              <w:rPr>
                <w:rFonts w:ascii="Times New Roman" w:eastAsia="Times New Roman"/>
              </w:rPr>
              <w:t>分值</w:t>
            </w:r>
          </w:p>
        </w:tc>
        <w:tc>
          <w:tcPr>
            <w:tcW w:w="280" w:type="pct"/>
            <w:vAlign w:val="center"/>
          </w:tcPr>
          <w:p w14:paraId="0493A6FD">
            <w:pPr>
              <w:pStyle w:val="26"/>
              <w:ind w:firstLine="0" w:firstLineChars="0"/>
              <w:jc w:val="center"/>
              <w:rPr>
                <w:rFonts w:ascii="Times New Roman" w:eastAsia="Times New Roman"/>
              </w:rPr>
            </w:pPr>
            <w:r>
              <w:rPr>
                <w:rFonts w:ascii="Times New Roman" w:eastAsia="Times New Roman"/>
              </w:rPr>
              <w:t>指标</w:t>
            </w:r>
          </w:p>
          <w:p w14:paraId="50689AD1">
            <w:pPr>
              <w:pStyle w:val="26"/>
              <w:ind w:firstLine="0" w:firstLineChars="0"/>
              <w:jc w:val="center"/>
              <w:rPr>
                <w:rFonts w:ascii="Times New Roman" w:eastAsia="Times New Roman"/>
              </w:rPr>
            </w:pPr>
            <w:r>
              <w:rPr>
                <w:rFonts w:ascii="Times New Roman" w:eastAsia="Times New Roman"/>
              </w:rPr>
              <w:t>类型</w:t>
            </w:r>
          </w:p>
        </w:tc>
        <w:tc>
          <w:tcPr>
            <w:tcW w:w="2250" w:type="pct"/>
            <w:vAlign w:val="center"/>
          </w:tcPr>
          <w:p w14:paraId="24B0B60B">
            <w:pPr>
              <w:pStyle w:val="26"/>
              <w:ind w:firstLine="0" w:firstLineChars="0"/>
              <w:jc w:val="center"/>
              <w:rPr>
                <w:rFonts w:ascii="Times New Roman" w:eastAsia="Times New Roman"/>
              </w:rPr>
            </w:pPr>
            <w:r>
              <w:rPr>
                <w:rFonts w:ascii="Times New Roman" w:eastAsia="Times New Roman"/>
              </w:rPr>
              <w:t>评分标准要求</w:t>
            </w:r>
          </w:p>
        </w:tc>
        <w:tc>
          <w:tcPr>
            <w:tcW w:w="748" w:type="pct"/>
            <w:vMerge w:val="continue"/>
          </w:tcPr>
          <w:p w14:paraId="0C27518C">
            <w:pPr>
              <w:pStyle w:val="26"/>
              <w:ind w:firstLine="0" w:firstLineChars="0"/>
              <w:jc w:val="center"/>
              <w:rPr>
                <w:rFonts w:ascii="Times New Roman" w:eastAsia="Times New Roman"/>
              </w:rPr>
            </w:pPr>
          </w:p>
        </w:tc>
        <w:tc>
          <w:tcPr>
            <w:tcW w:w="272" w:type="pct"/>
            <w:vMerge w:val="continue"/>
          </w:tcPr>
          <w:p w14:paraId="432AC9DA">
            <w:pPr>
              <w:pStyle w:val="26"/>
              <w:ind w:firstLine="0" w:firstLineChars="0"/>
              <w:jc w:val="center"/>
              <w:rPr>
                <w:rFonts w:ascii="Times New Roman" w:eastAsia="Times New Roman"/>
              </w:rPr>
            </w:pPr>
          </w:p>
        </w:tc>
      </w:tr>
      <w:tr w14:paraId="5750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5" w:hRule="atLeast"/>
        </w:trPr>
        <w:tc>
          <w:tcPr>
            <w:tcW w:w="373" w:type="pct"/>
            <w:vMerge w:val="restart"/>
            <w:vAlign w:val="center"/>
          </w:tcPr>
          <w:p w14:paraId="322D10FF">
            <w:pPr>
              <w:pStyle w:val="26"/>
              <w:ind w:firstLine="0" w:firstLineChars="0"/>
              <w:jc w:val="center"/>
              <w:rPr>
                <w:rFonts w:ascii="Times New Roman" w:eastAsia="Times New Roman"/>
              </w:rPr>
            </w:pPr>
            <w:r>
              <w:rPr>
                <w:rFonts w:ascii="Times New Roman" w:eastAsia="Times New Roman"/>
              </w:rPr>
              <w:t>绿色供应链管理战略X1</w:t>
            </w:r>
          </w:p>
          <w:p w14:paraId="4D0F9196">
            <w:pPr>
              <w:pStyle w:val="26"/>
              <w:ind w:firstLine="0" w:firstLineChars="0"/>
              <w:jc w:val="center"/>
              <w:rPr>
                <w:rFonts w:ascii="Times New Roman" w:eastAsia="Times New Roman"/>
              </w:rPr>
            </w:pPr>
            <w:r>
              <w:rPr>
                <w:rFonts w:ascii="Times New Roman" w:eastAsia="Times New Roman"/>
              </w:rPr>
              <w:t>（10分）</w:t>
            </w:r>
          </w:p>
        </w:tc>
        <w:tc>
          <w:tcPr>
            <w:tcW w:w="280" w:type="pct"/>
            <w:vAlign w:val="center"/>
          </w:tcPr>
          <w:p w14:paraId="6ADE785F">
            <w:pPr>
              <w:pStyle w:val="26"/>
              <w:ind w:firstLine="0" w:firstLineChars="0"/>
              <w:jc w:val="center"/>
              <w:rPr>
                <w:rFonts w:ascii="Times New Roman" w:eastAsia="Times New Roman"/>
              </w:rPr>
            </w:pPr>
            <w:r>
              <w:rPr>
                <w:rFonts w:ascii="Times New Roman" w:eastAsia="Times New Roman"/>
              </w:rPr>
              <w:t>1</w:t>
            </w:r>
          </w:p>
        </w:tc>
        <w:tc>
          <w:tcPr>
            <w:tcW w:w="468" w:type="pct"/>
            <w:vAlign w:val="center"/>
          </w:tcPr>
          <w:p w14:paraId="2DD7F7F9">
            <w:pPr>
              <w:pStyle w:val="26"/>
              <w:ind w:firstLine="0" w:firstLineChars="0"/>
              <w:jc w:val="center"/>
              <w:rPr>
                <w:rFonts w:ascii="Times New Roman" w:eastAsia="Times New Roman"/>
              </w:rPr>
            </w:pPr>
            <w:r>
              <w:rPr>
                <w:rFonts w:ascii="Times New Roman" w:eastAsia="Times New Roman"/>
              </w:rPr>
              <w:t>纳入公司发展规划 X11</w:t>
            </w:r>
          </w:p>
        </w:tc>
        <w:tc>
          <w:tcPr>
            <w:tcW w:w="327" w:type="pct"/>
            <w:vAlign w:val="center"/>
          </w:tcPr>
          <w:p w14:paraId="5BDE4A60">
            <w:pPr>
              <w:pStyle w:val="26"/>
              <w:ind w:firstLine="0" w:firstLineChars="0"/>
              <w:jc w:val="center"/>
              <w:rPr>
                <w:rFonts w:ascii="Times New Roman" w:eastAsia="Times New Roman"/>
              </w:rPr>
            </w:pPr>
            <w:r>
              <w:rPr>
                <w:rFonts w:ascii="Times New Roman" w:eastAsia="Times New Roman"/>
              </w:rPr>
              <w:t>3</w:t>
            </w:r>
          </w:p>
        </w:tc>
        <w:tc>
          <w:tcPr>
            <w:tcW w:w="280" w:type="pct"/>
            <w:vAlign w:val="center"/>
          </w:tcPr>
          <w:p w14:paraId="24F3105F">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72876CF1">
            <w:pPr>
              <w:pStyle w:val="26"/>
              <w:ind w:firstLine="0" w:firstLineChars="0"/>
              <w:rPr>
                <w:rFonts w:hint="default" w:ascii="Times New Roman" w:eastAsia="宋体"/>
                <w:lang w:val="en-US" w:eastAsia="zh-CN"/>
              </w:rPr>
            </w:pPr>
            <w:r>
              <w:rPr>
                <w:rFonts w:ascii="Times New Roman" w:eastAsia="Times New Roman"/>
              </w:rPr>
              <w:t>白酒企业应有明确的绿色供应链管理中长期发展规划、年度目标、指标、实施方案等文件。</w:t>
            </w:r>
            <w:r>
              <w:rPr>
                <w:rFonts w:hint="eastAsia" w:ascii="Times New Roman" w:eastAsia="Times New Roman"/>
              </w:rPr>
              <w:t>企业的绿色供应链管理规划以下形式体现</w:t>
            </w:r>
            <w:r>
              <w:rPr>
                <w:rFonts w:hint="eastAsia" w:ascii="Times New Roman"/>
                <w:lang w:val="en-US" w:eastAsia="zh-CN"/>
              </w:rPr>
              <w:t>都</w:t>
            </w:r>
            <w:r>
              <w:rPr>
                <w:rFonts w:hint="eastAsia" w:ascii="Times New Roman" w:eastAsia="Times New Roman"/>
              </w:rPr>
              <w:t>可：一</w:t>
            </w:r>
            <w:r>
              <w:rPr>
                <w:rFonts w:hint="eastAsia" w:ascii="Times New Roman"/>
                <w:lang w:eastAsia="zh-CN"/>
              </w:rPr>
              <w:t>、</w:t>
            </w:r>
            <w:r>
              <w:rPr>
                <w:rFonts w:hint="eastAsia" w:ascii="Times New Roman" w:eastAsia="Times New Roman"/>
              </w:rPr>
              <w:t>可以制定单独的绿色供应链管理中长期发展规划、年度目标、指标、实施方案等文件。二</w:t>
            </w:r>
            <w:r>
              <w:rPr>
                <w:rFonts w:hint="eastAsia" w:ascii="Times New Roman"/>
                <w:lang w:eastAsia="zh-CN"/>
              </w:rPr>
              <w:t>、</w:t>
            </w:r>
            <w:r>
              <w:rPr>
                <w:rFonts w:hint="eastAsia" w:ascii="Times New Roman" w:eastAsia="Times New Roman"/>
              </w:rPr>
              <w:t>可以在公司总的战略规划中用一个单独的篇章来对绿色供应链管理中长期发展规划、年度目标、指标、实施方案等内容进行单独描述。三</w:t>
            </w:r>
            <w:r>
              <w:rPr>
                <w:rFonts w:hint="eastAsia" w:ascii="Times New Roman"/>
                <w:lang w:eastAsia="zh-CN"/>
              </w:rPr>
              <w:t>、</w:t>
            </w:r>
            <w:r>
              <w:rPr>
                <w:rFonts w:hint="eastAsia" w:ascii="Times New Roman" w:eastAsia="Times New Roman"/>
              </w:rPr>
              <w:t>可以将绿色供应链管理作为公司战略规划下的分战略来进行制定。</w:t>
            </w:r>
            <w:r>
              <w:rPr>
                <w:rFonts w:hint="eastAsia" w:ascii="Times New Roman"/>
                <w:lang w:val="en-US" w:eastAsia="zh-CN"/>
              </w:rPr>
              <w:t>具体评分原则如下：</w:t>
            </w:r>
          </w:p>
          <w:p w14:paraId="31BFAA31">
            <w:pPr>
              <w:pStyle w:val="26"/>
              <w:ind w:firstLine="0" w:firstLineChars="0"/>
              <w:rPr>
                <w:rFonts w:ascii="Times New Roman" w:eastAsia="Times New Roman"/>
              </w:rPr>
            </w:pPr>
            <w:r>
              <w:rPr>
                <w:rFonts w:hint="eastAsia" w:ascii="Times New Roman"/>
                <w:lang w:val="en-US" w:eastAsia="zh-CN"/>
              </w:rPr>
              <w:t>企业</w:t>
            </w:r>
            <w:r>
              <w:rPr>
                <w:rFonts w:ascii="Times New Roman" w:eastAsia="Times New Roman"/>
              </w:rPr>
              <w:t>有明确的中长期规划、年度目标、指标以及实施方案，3分；</w:t>
            </w:r>
          </w:p>
          <w:p w14:paraId="30A5803C">
            <w:pPr>
              <w:pStyle w:val="26"/>
              <w:ind w:firstLine="0" w:firstLineChars="0"/>
              <w:rPr>
                <w:rFonts w:ascii="Times New Roman" w:eastAsia="Times New Roman"/>
              </w:rPr>
            </w:pPr>
            <w:r>
              <w:rPr>
                <w:rFonts w:hint="eastAsia" w:ascii="Times New Roman"/>
                <w:lang w:val="en-US" w:eastAsia="zh-CN"/>
              </w:rPr>
              <w:t>企业</w:t>
            </w:r>
            <w:r>
              <w:rPr>
                <w:rFonts w:ascii="Times New Roman" w:eastAsia="Times New Roman"/>
              </w:rPr>
              <w:t>无中长期规划，</w:t>
            </w:r>
            <w:r>
              <w:rPr>
                <w:rFonts w:hint="eastAsia" w:ascii="Times New Roman"/>
                <w:lang w:val="en-US" w:eastAsia="zh-CN"/>
              </w:rPr>
              <w:t>但</w:t>
            </w:r>
            <w:r>
              <w:rPr>
                <w:rFonts w:ascii="Times New Roman" w:eastAsia="Times New Roman"/>
              </w:rPr>
              <w:t>有年度目标、指标和实施方案，2分；</w:t>
            </w:r>
          </w:p>
          <w:p w14:paraId="094247DA">
            <w:pPr>
              <w:pStyle w:val="26"/>
              <w:ind w:firstLine="0" w:firstLineChars="0"/>
              <w:rPr>
                <w:rFonts w:ascii="Times New Roman" w:eastAsia="Times New Roman"/>
              </w:rPr>
            </w:pPr>
            <w:r>
              <w:rPr>
                <w:rFonts w:hint="eastAsia" w:ascii="Times New Roman"/>
                <w:lang w:val="en-US" w:eastAsia="zh-CN"/>
              </w:rPr>
              <w:t>企业</w:t>
            </w:r>
            <w:r>
              <w:rPr>
                <w:rFonts w:ascii="Times New Roman" w:eastAsia="Times New Roman"/>
              </w:rPr>
              <w:t>无中长期规划、年度目标和指标，但有具体实施项目方案，1分。</w:t>
            </w:r>
          </w:p>
        </w:tc>
        <w:tc>
          <w:tcPr>
            <w:tcW w:w="748" w:type="pct"/>
          </w:tcPr>
          <w:p w14:paraId="2F6E6B79">
            <w:pPr>
              <w:pStyle w:val="26"/>
              <w:ind w:firstLine="0" w:firstLineChars="0"/>
              <w:rPr>
                <w:rFonts w:ascii="Times New Roman" w:eastAsia="Times New Roman"/>
              </w:rPr>
            </w:pPr>
          </w:p>
        </w:tc>
        <w:tc>
          <w:tcPr>
            <w:tcW w:w="272" w:type="pct"/>
          </w:tcPr>
          <w:p w14:paraId="1B72CB04">
            <w:pPr>
              <w:pStyle w:val="26"/>
              <w:ind w:firstLine="0" w:firstLineChars="0"/>
              <w:rPr>
                <w:rFonts w:ascii="Times New Roman" w:eastAsia="Times New Roman"/>
              </w:rPr>
            </w:pPr>
          </w:p>
        </w:tc>
      </w:tr>
      <w:tr w14:paraId="1FD5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7" w:hRule="atLeast"/>
        </w:trPr>
        <w:tc>
          <w:tcPr>
            <w:tcW w:w="373" w:type="pct"/>
            <w:vMerge w:val="continue"/>
            <w:vAlign w:val="center"/>
          </w:tcPr>
          <w:p w14:paraId="70FCA5A9">
            <w:pPr>
              <w:pStyle w:val="26"/>
              <w:rPr>
                <w:rFonts w:ascii="Times New Roman" w:eastAsia="Times New Roman"/>
              </w:rPr>
            </w:pPr>
          </w:p>
        </w:tc>
        <w:tc>
          <w:tcPr>
            <w:tcW w:w="280" w:type="pct"/>
            <w:vAlign w:val="center"/>
          </w:tcPr>
          <w:p w14:paraId="58BD496D">
            <w:pPr>
              <w:pStyle w:val="26"/>
              <w:ind w:firstLine="0" w:firstLineChars="0"/>
              <w:jc w:val="center"/>
              <w:rPr>
                <w:rFonts w:ascii="Times New Roman" w:eastAsia="Times New Roman"/>
              </w:rPr>
            </w:pPr>
            <w:r>
              <w:rPr>
                <w:rFonts w:ascii="Times New Roman" w:eastAsia="Times New Roman"/>
              </w:rPr>
              <w:t>2</w:t>
            </w:r>
          </w:p>
        </w:tc>
        <w:tc>
          <w:tcPr>
            <w:tcW w:w="468" w:type="pct"/>
            <w:vAlign w:val="center"/>
          </w:tcPr>
          <w:p w14:paraId="7892B164">
            <w:pPr>
              <w:pStyle w:val="26"/>
              <w:ind w:firstLine="0" w:firstLineChars="0"/>
              <w:jc w:val="center"/>
              <w:rPr>
                <w:rFonts w:ascii="Times New Roman" w:eastAsia="Times New Roman"/>
              </w:rPr>
            </w:pPr>
            <w:r>
              <w:rPr>
                <w:rFonts w:ascii="Times New Roman" w:eastAsia="Times New Roman"/>
              </w:rPr>
              <w:t>分年度制定绿色供应链管理目标X12</w:t>
            </w:r>
          </w:p>
        </w:tc>
        <w:tc>
          <w:tcPr>
            <w:tcW w:w="327" w:type="pct"/>
            <w:vAlign w:val="center"/>
          </w:tcPr>
          <w:p w14:paraId="21D7053F">
            <w:pPr>
              <w:pStyle w:val="26"/>
              <w:ind w:firstLine="0" w:firstLineChars="0"/>
              <w:jc w:val="center"/>
              <w:rPr>
                <w:rFonts w:ascii="Times New Roman" w:eastAsia="Times New Roman"/>
              </w:rPr>
            </w:pPr>
            <w:r>
              <w:rPr>
                <w:rFonts w:ascii="Times New Roman" w:eastAsia="Times New Roman"/>
              </w:rPr>
              <w:t>5</w:t>
            </w:r>
          </w:p>
        </w:tc>
        <w:tc>
          <w:tcPr>
            <w:tcW w:w="280" w:type="pct"/>
            <w:vAlign w:val="center"/>
          </w:tcPr>
          <w:p w14:paraId="45F6BECA">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10A2BDF9">
            <w:pPr>
              <w:pStyle w:val="26"/>
              <w:ind w:firstLine="0" w:firstLineChars="0"/>
              <w:rPr>
                <w:rFonts w:ascii="Times New Roman" w:eastAsia="Times New Roman"/>
              </w:rPr>
            </w:pPr>
            <w:r>
              <w:rPr>
                <w:rFonts w:ascii="Times New Roman" w:eastAsia="Times New Roman"/>
              </w:rPr>
              <w:t>白酒企业围绕绿色供应商管理、绿色生产、绿色回收、绿色供应链信息系统建设、绿色信息披露五个关键环节制定可量化的年度目标，每一个环节目标得1分。</w:t>
            </w:r>
          </w:p>
        </w:tc>
        <w:tc>
          <w:tcPr>
            <w:tcW w:w="748" w:type="pct"/>
          </w:tcPr>
          <w:p w14:paraId="26C571AA">
            <w:pPr>
              <w:pStyle w:val="26"/>
              <w:ind w:firstLine="0" w:firstLineChars="0"/>
              <w:rPr>
                <w:rFonts w:ascii="Times New Roman" w:eastAsia="Times New Roman"/>
              </w:rPr>
            </w:pPr>
          </w:p>
        </w:tc>
        <w:tc>
          <w:tcPr>
            <w:tcW w:w="272" w:type="pct"/>
          </w:tcPr>
          <w:p w14:paraId="206B5B8A">
            <w:pPr>
              <w:pStyle w:val="26"/>
              <w:ind w:firstLine="0" w:firstLineChars="0"/>
              <w:rPr>
                <w:rFonts w:ascii="Times New Roman" w:eastAsia="Times New Roman"/>
              </w:rPr>
            </w:pPr>
          </w:p>
        </w:tc>
      </w:tr>
      <w:tr w14:paraId="73C2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3" w:hRule="atLeast"/>
        </w:trPr>
        <w:tc>
          <w:tcPr>
            <w:tcW w:w="373" w:type="pct"/>
            <w:vMerge w:val="continue"/>
            <w:vAlign w:val="center"/>
          </w:tcPr>
          <w:p w14:paraId="2F13D34A">
            <w:pPr>
              <w:pStyle w:val="26"/>
              <w:rPr>
                <w:rFonts w:ascii="Times New Roman" w:eastAsia="Times New Roman"/>
              </w:rPr>
            </w:pPr>
          </w:p>
        </w:tc>
        <w:tc>
          <w:tcPr>
            <w:tcW w:w="280" w:type="pct"/>
            <w:vAlign w:val="center"/>
          </w:tcPr>
          <w:p w14:paraId="1052027C">
            <w:pPr>
              <w:pStyle w:val="26"/>
              <w:ind w:firstLine="0" w:firstLineChars="0"/>
              <w:jc w:val="center"/>
              <w:rPr>
                <w:rFonts w:ascii="Times New Roman" w:eastAsia="Times New Roman"/>
              </w:rPr>
            </w:pPr>
            <w:r>
              <w:rPr>
                <w:rFonts w:ascii="Times New Roman" w:eastAsia="Times New Roman"/>
              </w:rPr>
              <w:t>3</w:t>
            </w:r>
          </w:p>
        </w:tc>
        <w:tc>
          <w:tcPr>
            <w:tcW w:w="468" w:type="pct"/>
            <w:vAlign w:val="center"/>
          </w:tcPr>
          <w:p w14:paraId="306E9EA3">
            <w:pPr>
              <w:pStyle w:val="26"/>
              <w:ind w:firstLine="0" w:firstLineChars="0"/>
              <w:jc w:val="center"/>
              <w:rPr>
                <w:rFonts w:ascii="Times New Roman" w:eastAsia="Times New Roman"/>
              </w:rPr>
            </w:pPr>
            <w:r>
              <w:rPr>
                <w:rFonts w:ascii="Times New Roman" w:eastAsia="Times New Roman"/>
              </w:rPr>
              <w:t>机构设置、人员配备满足绿色供应链管理要求X13</w:t>
            </w:r>
          </w:p>
        </w:tc>
        <w:tc>
          <w:tcPr>
            <w:tcW w:w="327" w:type="pct"/>
            <w:vAlign w:val="center"/>
          </w:tcPr>
          <w:p w14:paraId="29818FFD">
            <w:pPr>
              <w:pStyle w:val="26"/>
              <w:ind w:firstLine="0" w:firstLineChars="0"/>
              <w:jc w:val="center"/>
              <w:rPr>
                <w:rFonts w:ascii="Times New Roman" w:eastAsia="Times New Roman"/>
              </w:rPr>
            </w:pPr>
            <w:r>
              <w:rPr>
                <w:rFonts w:ascii="Times New Roman" w:eastAsia="Times New Roman"/>
              </w:rPr>
              <w:t>2</w:t>
            </w:r>
          </w:p>
        </w:tc>
        <w:tc>
          <w:tcPr>
            <w:tcW w:w="280" w:type="pct"/>
            <w:vAlign w:val="center"/>
          </w:tcPr>
          <w:p w14:paraId="11743A98">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094EFC16">
            <w:pPr>
              <w:pStyle w:val="26"/>
              <w:ind w:firstLine="0" w:firstLineChars="0"/>
              <w:rPr>
                <w:rFonts w:ascii="Times New Roman" w:eastAsia="Times New Roman"/>
              </w:rPr>
            </w:pPr>
            <w:r>
              <w:rPr>
                <w:rFonts w:hint="eastAsia" w:ascii="Times New Roman" w:eastAsia="Times New Roman"/>
              </w:rPr>
              <w:t>白酒企业应设置有开展绿色供应链管理的机构、人员</w:t>
            </w:r>
            <w:r>
              <w:rPr>
                <w:rFonts w:ascii="Times New Roman" w:eastAsia="Times New Roman"/>
              </w:rPr>
              <w:t>，组织开展绿色供应链管理实施、监测、审核评审、改进活动，确保绿色供应链管理的有效运行。</w:t>
            </w:r>
          </w:p>
          <w:p w14:paraId="0E257C57">
            <w:pPr>
              <w:pStyle w:val="26"/>
              <w:ind w:firstLine="0" w:firstLineChars="0"/>
              <w:rPr>
                <w:rFonts w:ascii="Times New Roman" w:eastAsia="Times New Roman"/>
              </w:rPr>
            </w:pPr>
            <w:r>
              <w:rPr>
                <w:rFonts w:ascii="Times New Roman" w:eastAsia="Times New Roman"/>
              </w:rPr>
              <w:t>有专门机构设置和专人：2分；无专门机构设置，有专人：1分；无专门机构设置、无专人：0分。</w:t>
            </w:r>
          </w:p>
        </w:tc>
        <w:tc>
          <w:tcPr>
            <w:tcW w:w="748" w:type="pct"/>
          </w:tcPr>
          <w:p w14:paraId="5A223299">
            <w:pPr>
              <w:pStyle w:val="26"/>
              <w:ind w:firstLine="0" w:firstLineChars="0"/>
              <w:rPr>
                <w:rFonts w:ascii="Times New Roman" w:eastAsia="Times New Roman"/>
              </w:rPr>
            </w:pPr>
          </w:p>
        </w:tc>
        <w:tc>
          <w:tcPr>
            <w:tcW w:w="272" w:type="pct"/>
          </w:tcPr>
          <w:p w14:paraId="61222BF5">
            <w:pPr>
              <w:pStyle w:val="26"/>
              <w:ind w:firstLine="0" w:firstLineChars="0"/>
              <w:rPr>
                <w:rFonts w:ascii="Times New Roman" w:eastAsia="Times New Roman"/>
              </w:rPr>
            </w:pPr>
          </w:p>
        </w:tc>
      </w:tr>
      <w:tr w14:paraId="6ADF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2" w:hRule="atLeast"/>
        </w:trPr>
        <w:tc>
          <w:tcPr>
            <w:tcW w:w="373" w:type="pct"/>
            <w:vMerge w:val="restart"/>
            <w:vAlign w:val="center"/>
          </w:tcPr>
          <w:p w14:paraId="4EFEF912">
            <w:pPr>
              <w:pStyle w:val="26"/>
              <w:ind w:firstLine="0" w:firstLineChars="0"/>
              <w:jc w:val="center"/>
              <w:rPr>
                <w:rFonts w:ascii="Times New Roman" w:eastAsia="Times New Roman"/>
              </w:rPr>
            </w:pPr>
            <w:r>
              <w:rPr>
                <w:rFonts w:ascii="Times New Roman" w:eastAsia="Times New Roman"/>
              </w:rPr>
              <w:t>实施绿色供应商管理X2</w:t>
            </w:r>
          </w:p>
          <w:p w14:paraId="1D67DC79">
            <w:pPr>
              <w:pStyle w:val="26"/>
              <w:ind w:firstLine="0" w:firstLineChars="0"/>
              <w:jc w:val="center"/>
              <w:rPr>
                <w:rFonts w:ascii="Times New Roman" w:eastAsia="Times New Roman"/>
              </w:rPr>
            </w:pPr>
            <w:r>
              <w:rPr>
                <w:rFonts w:ascii="Times New Roman" w:eastAsia="Times New Roman"/>
              </w:rPr>
              <w:t>（25分）</w:t>
            </w:r>
          </w:p>
        </w:tc>
        <w:tc>
          <w:tcPr>
            <w:tcW w:w="280" w:type="pct"/>
            <w:vAlign w:val="center"/>
          </w:tcPr>
          <w:p w14:paraId="60EFDE9E">
            <w:pPr>
              <w:pStyle w:val="26"/>
              <w:ind w:firstLine="0" w:firstLineChars="0"/>
              <w:jc w:val="center"/>
              <w:rPr>
                <w:rFonts w:ascii="Times New Roman" w:eastAsia="Times New Roman"/>
              </w:rPr>
            </w:pPr>
            <w:r>
              <w:rPr>
                <w:rFonts w:ascii="Times New Roman" w:eastAsia="Times New Roman"/>
              </w:rPr>
              <w:t>4</w:t>
            </w:r>
          </w:p>
        </w:tc>
        <w:tc>
          <w:tcPr>
            <w:tcW w:w="468" w:type="pct"/>
            <w:vAlign w:val="center"/>
          </w:tcPr>
          <w:p w14:paraId="52CB56EC">
            <w:pPr>
              <w:pStyle w:val="26"/>
              <w:ind w:firstLine="0" w:firstLineChars="0"/>
              <w:jc w:val="center"/>
              <w:rPr>
                <w:rFonts w:ascii="Times New Roman" w:eastAsia="Times New Roman"/>
              </w:rPr>
            </w:pPr>
            <w:r>
              <w:rPr>
                <w:rFonts w:ascii="Times New Roman" w:eastAsia="Times New Roman"/>
              </w:rPr>
              <w:t>绿色采购标准制度完善X21</w:t>
            </w:r>
          </w:p>
        </w:tc>
        <w:tc>
          <w:tcPr>
            <w:tcW w:w="327" w:type="pct"/>
            <w:vAlign w:val="center"/>
          </w:tcPr>
          <w:p w14:paraId="1D008904">
            <w:pPr>
              <w:pStyle w:val="26"/>
              <w:ind w:firstLine="0" w:firstLineChars="0"/>
              <w:jc w:val="center"/>
              <w:rPr>
                <w:rFonts w:hint="eastAsia" w:ascii="Times New Roman" w:eastAsia="宋体"/>
                <w:lang w:eastAsia="zh-CN"/>
              </w:rPr>
            </w:pPr>
            <w:r>
              <w:rPr>
                <w:rFonts w:hint="eastAsia" w:ascii="Times New Roman"/>
                <w:lang w:val="en-US" w:eastAsia="zh-CN"/>
              </w:rPr>
              <w:t>3</w:t>
            </w:r>
          </w:p>
        </w:tc>
        <w:tc>
          <w:tcPr>
            <w:tcW w:w="280" w:type="pct"/>
            <w:vAlign w:val="center"/>
          </w:tcPr>
          <w:p w14:paraId="0511B693">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54D84E9A">
            <w:pPr>
              <w:pStyle w:val="26"/>
              <w:ind w:firstLine="0" w:firstLineChars="0"/>
              <w:rPr>
                <w:rFonts w:ascii="Times New Roman" w:eastAsia="Times New Roman"/>
              </w:rPr>
            </w:pPr>
            <w:r>
              <w:rPr>
                <w:rFonts w:ascii="Times New Roman" w:eastAsia="Times New Roman"/>
              </w:rPr>
              <w:t>白酒企业应具备绿色供应链管理制度文件，包括且不限于以下内容：包含《企业绿色采购指南（试行）》（</w:t>
            </w:r>
            <w:r>
              <w:rPr>
                <w:rFonts w:hint="eastAsia" w:ascii="Times New Roman" w:eastAsia="Times New Roman"/>
              </w:rPr>
              <w:t>商务部、环境保护部、工业和信息化部2014年12月22日发布</w:t>
            </w:r>
            <w:r>
              <w:rPr>
                <w:rFonts w:ascii="Times New Roman" w:eastAsia="Times New Roman"/>
              </w:rPr>
              <w:t>）中</w:t>
            </w:r>
            <w:r>
              <w:rPr>
                <w:rFonts w:hint="eastAsia" w:ascii="Times New Roman"/>
                <w:lang w:val="en-US" w:eastAsia="zh-CN"/>
              </w:rPr>
              <w:t>的主要</w:t>
            </w:r>
            <w:r>
              <w:rPr>
                <w:rFonts w:ascii="Times New Roman" w:eastAsia="Times New Roman"/>
              </w:rPr>
              <w:t>要素内容</w:t>
            </w:r>
            <w:r>
              <w:rPr>
                <w:rFonts w:hint="eastAsia" w:ascii="Times New Roman"/>
                <w:lang w:eastAsia="zh-CN"/>
              </w:rPr>
              <w:t>：</w:t>
            </w:r>
            <w:r>
              <w:rPr>
                <w:rFonts w:hint="eastAsia" w:ascii="Times New Roman"/>
                <w:lang w:val="en-US" w:eastAsia="zh-CN"/>
              </w:rPr>
              <w:t>1</w:t>
            </w:r>
            <w:r>
              <w:rPr>
                <w:rFonts w:ascii="Times New Roman" w:eastAsia="Times New Roman"/>
              </w:rPr>
              <w:t>、绿色供应商筛选、认定的条件和程序；</w:t>
            </w:r>
            <w:r>
              <w:rPr>
                <w:rFonts w:hint="eastAsia" w:ascii="Times New Roman"/>
                <w:lang w:val="en-US" w:eastAsia="zh-CN"/>
              </w:rPr>
              <w:t>2</w:t>
            </w:r>
            <w:r>
              <w:rPr>
                <w:rFonts w:ascii="Times New Roman" w:eastAsia="Times New Roman"/>
              </w:rPr>
              <w:t>、绿色采购合同履行过程中的检验和争议处理机制；</w:t>
            </w:r>
            <w:r>
              <w:rPr>
                <w:rFonts w:hint="eastAsia" w:ascii="Times New Roman"/>
                <w:lang w:val="en-US" w:eastAsia="zh-CN"/>
              </w:rPr>
              <w:t>3</w:t>
            </w:r>
            <w:r>
              <w:rPr>
                <w:rFonts w:ascii="Times New Roman" w:eastAsia="Times New Roman"/>
              </w:rPr>
              <w:t>、绿色采购信息公开的范围、方式、频次等；</w:t>
            </w:r>
            <w:r>
              <w:rPr>
                <w:rFonts w:hint="eastAsia" w:ascii="Times New Roman"/>
                <w:lang w:val="en-US" w:eastAsia="zh-CN"/>
              </w:rPr>
              <w:t>4</w:t>
            </w:r>
            <w:r>
              <w:rPr>
                <w:rFonts w:ascii="Times New Roman" w:eastAsia="Times New Roman"/>
              </w:rPr>
              <w:t>、绿色采购绩效的评价；</w:t>
            </w:r>
            <w:r>
              <w:rPr>
                <w:rFonts w:hint="eastAsia" w:ascii="Times New Roman"/>
                <w:lang w:val="en-US" w:eastAsia="zh-CN"/>
              </w:rPr>
              <w:t>5</w:t>
            </w:r>
            <w:r>
              <w:rPr>
                <w:rFonts w:ascii="Times New Roman" w:eastAsia="Times New Roman"/>
              </w:rPr>
              <w:t>、实施产品下架、召回和追溯制度；</w:t>
            </w:r>
            <w:r>
              <w:rPr>
                <w:rFonts w:hint="eastAsia" w:ascii="Times New Roman"/>
                <w:lang w:val="en-US" w:eastAsia="zh-CN"/>
              </w:rPr>
              <w:t>6</w:t>
            </w:r>
            <w:r>
              <w:rPr>
                <w:rFonts w:ascii="Times New Roman" w:eastAsia="Times New Roman"/>
              </w:rPr>
              <w:t>、实施绿色采购的其他有关内容。每个要素0.5分，总计</w:t>
            </w:r>
            <w:r>
              <w:rPr>
                <w:rFonts w:hint="eastAsia" w:ascii="Times New Roman"/>
                <w:lang w:val="en-US" w:eastAsia="zh-CN"/>
              </w:rPr>
              <w:t>3</w:t>
            </w:r>
            <w:r>
              <w:rPr>
                <w:rFonts w:ascii="Times New Roman" w:eastAsia="Times New Roman"/>
              </w:rPr>
              <w:t>分。</w:t>
            </w:r>
          </w:p>
        </w:tc>
        <w:tc>
          <w:tcPr>
            <w:tcW w:w="748" w:type="pct"/>
          </w:tcPr>
          <w:p w14:paraId="51D08517">
            <w:pPr>
              <w:pStyle w:val="26"/>
              <w:ind w:firstLine="0" w:firstLineChars="0"/>
              <w:rPr>
                <w:rFonts w:ascii="Times New Roman" w:eastAsia="Times New Roman"/>
              </w:rPr>
            </w:pPr>
          </w:p>
        </w:tc>
        <w:tc>
          <w:tcPr>
            <w:tcW w:w="272" w:type="pct"/>
          </w:tcPr>
          <w:p w14:paraId="1DAF793D">
            <w:pPr>
              <w:pStyle w:val="26"/>
              <w:ind w:firstLine="0" w:firstLineChars="0"/>
              <w:rPr>
                <w:rFonts w:ascii="Times New Roman" w:eastAsia="Times New Roman"/>
              </w:rPr>
            </w:pPr>
          </w:p>
        </w:tc>
      </w:tr>
      <w:tr w14:paraId="106F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1" w:hRule="atLeast"/>
        </w:trPr>
        <w:tc>
          <w:tcPr>
            <w:tcW w:w="373" w:type="pct"/>
            <w:vMerge w:val="continue"/>
            <w:vAlign w:val="center"/>
          </w:tcPr>
          <w:p w14:paraId="38F60D58">
            <w:pPr>
              <w:pStyle w:val="26"/>
              <w:ind w:firstLine="0" w:firstLineChars="0"/>
              <w:jc w:val="center"/>
              <w:rPr>
                <w:rFonts w:ascii="Times New Roman" w:eastAsia="Times New Roman"/>
              </w:rPr>
            </w:pPr>
          </w:p>
        </w:tc>
        <w:tc>
          <w:tcPr>
            <w:tcW w:w="280" w:type="pct"/>
            <w:vAlign w:val="center"/>
          </w:tcPr>
          <w:p w14:paraId="59664A64">
            <w:pPr>
              <w:pStyle w:val="26"/>
              <w:ind w:firstLine="0" w:firstLineChars="0"/>
              <w:jc w:val="center"/>
              <w:rPr>
                <w:rFonts w:ascii="Times New Roman" w:eastAsia="Times New Roman"/>
              </w:rPr>
            </w:pPr>
            <w:r>
              <w:rPr>
                <w:rFonts w:ascii="Times New Roman" w:eastAsia="Times New Roman"/>
              </w:rPr>
              <w:t>5</w:t>
            </w:r>
          </w:p>
        </w:tc>
        <w:tc>
          <w:tcPr>
            <w:tcW w:w="468" w:type="pct"/>
            <w:vAlign w:val="center"/>
          </w:tcPr>
          <w:p w14:paraId="3166D608">
            <w:pPr>
              <w:pStyle w:val="26"/>
              <w:ind w:firstLine="0" w:firstLineChars="0"/>
              <w:jc w:val="center"/>
              <w:rPr>
                <w:rFonts w:ascii="Times New Roman" w:eastAsia="Times New Roman"/>
              </w:rPr>
            </w:pPr>
            <w:r>
              <w:rPr>
                <w:rFonts w:ascii="Times New Roman" w:eastAsia="Times New Roman"/>
              </w:rPr>
              <w:t>供应商认证体系完善X22</w:t>
            </w:r>
          </w:p>
        </w:tc>
        <w:tc>
          <w:tcPr>
            <w:tcW w:w="327" w:type="pct"/>
            <w:vAlign w:val="center"/>
          </w:tcPr>
          <w:p w14:paraId="33DAC833">
            <w:pPr>
              <w:pStyle w:val="26"/>
              <w:ind w:firstLine="0" w:firstLineChars="0"/>
              <w:jc w:val="center"/>
              <w:rPr>
                <w:rFonts w:ascii="Times New Roman" w:eastAsia="Times New Roman"/>
              </w:rPr>
            </w:pPr>
            <w:r>
              <w:rPr>
                <w:rFonts w:ascii="Times New Roman" w:eastAsia="Times New Roman"/>
              </w:rPr>
              <w:t>4</w:t>
            </w:r>
          </w:p>
        </w:tc>
        <w:tc>
          <w:tcPr>
            <w:tcW w:w="280" w:type="pct"/>
            <w:vAlign w:val="center"/>
          </w:tcPr>
          <w:p w14:paraId="03A7846C">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6815DCEC">
            <w:pPr>
              <w:pStyle w:val="26"/>
              <w:ind w:firstLine="0" w:firstLineChars="0"/>
              <w:rPr>
                <w:rFonts w:ascii="Times New Roman" w:eastAsia="Times New Roman"/>
              </w:rPr>
            </w:pPr>
            <w:r>
              <w:rPr>
                <w:rFonts w:ascii="Times New Roman" w:eastAsia="Times New Roman"/>
              </w:rPr>
              <w:t>白酒企业的采购文件中应要求</w:t>
            </w:r>
            <w:r>
              <w:rPr>
                <w:rFonts w:hint="eastAsia" w:ascii="Times New Roman" w:eastAsia="Times New Roman"/>
              </w:rPr>
              <w:t>主要供应商按国家规定建立、实施并保持满足GB/T19001要求的质量管理体系、GB/T45001要求的职业健康安全管理体系、GB/T24001要求的环境管理体系和GB/T23331要求的能源管理体系</w:t>
            </w:r>
            <w:r>
              <w:rPr>
                <w:rFonts w:ascii="Times New Roman" w:eastAsia="Times New Roman"/>
              </w:rPr>
              <w:t>：每项认证要求得1分</w:t>
            </w:r>
            <w:r>
              <w:rPr>
                <w:rFonts w:hint="eastAsia" w:ascii="Times New Roman"/>
                <w:lang w:eastAsia="zh-CN"/>
              </w:rPr>
              <w:t>，</w:t>
            </w:r>
            <w:r>
              <w:rPr>
                <w:rFonts w:hint="eastAsia" w:ascii="Times New Roman"/>
                <w:lang w:val="en-US" w:eastAsia="zh-CN"/>
              </w:rPr>
              <w:t>总计4分</w:t>
            </w:r>
            <w:r>
              <w:rPr>
                <w:rFonts w:ascii="Times New Roman" w:eastAsia="Times New Roman"/>
              </w:rPr>
              <w:t>。</w:t>
            </w:r>
          </w:p>
        </w:tc>
        <w:tc>
          <w:tcPr>
            <w:tcW w:w="748" w:type="pct"/>
          </w:tcPr>
          <w:p w14:paraId="6561FC07">
            <w:pPr>
              <w:pStyle w:val="26"/>
              <w:ind w:firstLine="0" w:firstLineChars="0"/>
              <w:rPr>
                <w:rFonts w:ascii="Times New Roman" w:eastAsia="Times New Roman"/>
              </w:rPr>
            </w:pPr>
          </w:p>
        </w:tc>
        <w:tc>
          <w:tcPr>
            <w:tcW w:w="272" w:type="pct"/>
          </w:tcPr>
          <w:p w14:paraId="41CAFB2D">
            <w:pPr>
              <w:pStyle w:val="26"/>
              <w:ind w:firstLine="0" w:firstLineChars="0"/>
              <w:rPr>
                <w:rFonts w:ascii="Times New Roman" w:eastAsia="Times New Roman"/>
              </w:rPr>
            </w:pPr>
          </w:p>
        </w:tc>
      </w:tr>
      <w:tr w14:paraId="77D6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trPr>
        <w:tc>
          <w:tcPr>
            <w:tcW w:w="373" w:type="pct"/>
            <w:vMerge w:val="continue"/>
            <w:vAlign w:val="center"/>
          </w:tcPr>
          <w:p w14:paraId="0ACF1D90">
            <w:pPr>
              <w:pStyle w:val="26"/>
              <w:rPr>
                <w:rFonts w:ascii="Times New Roman" w:eastAsia="Times New Roman"/>
              </w:rPr>
            </w:pPr>
          </w:p>
        </w:tc>
        <w:tc>
          <w:tcPr>
            <w:tcW w:w="280" w:type="pct"/>
            <w:vAlign w:val="center"/>
          </w:tcPr>
          <w:p w14:paraId="67EF548C">
            <w:pPr>
              <w:pStyle w:val="26"/>
              <w:ind w:firstLine="0" w:firstLineChars="0"/>
              <w:jc w:val="center"/>
              <w:rPr>
                <w:rFonts w:ascii="Times New Roman" w:eastAsia="Times New Roman"/>
              </w:rPr>
            </w:pPr>
            <w:r>
              <w:rPr>
                <w:rFonts w:ascii="Times New Roman" w:eastAsia="Times New Roman"/>
              </w:rPr>
              <w:t>6</w:t>
            </w:r>
          </w:p>
        </w:tc>
        <w:tc>
          <w:tcPr>
            <w:tcW w:w="468" w:type="pct"/>
            <w:vAlign w:val="center"/>
          </w:tcPr>
          <w:p w14:paraId="2B1F304D">
            <w:pPr>
              <w:pStyle w:val="26"/>
              <w:ind w:firstLine="0" w:firstLineChars="0"/>
              <w:jc w:val="center"/>
              <w:rPr>
                <w:rFonts w:ascii="Times New Roman" w:eastAsia="Times New Roman"/>
              </w:rPr>
            </w:pPr>
            <w:r>
              <w:rPr>
                <w:rFonts w:ascii="Times New Roman" w:eastAsia="Times New Roman"/>
              </w:rPr>
              <w:t>对供应商定期审核X23</w:t>
            </w:r>
          </w:p>
        </w:tc>
        <w:tc>
          <w:tcPr>
            <w:tcW w:w="327" w:type="pct"/>
            <w:vAlign w:val="center"/>
          </w:tcPr>
          <w:p w14:paraId="2CC58291">
            <w:pPr>
              <w:pStyle w:val="26"/>
              <w:ind w:firstLine="0" w:firstLineChars="0"/>
              <w:jc w:val="center"/>
              <w:rPr>
                <w:rFonts w:hint="eastAsia" w:ascii="Times New Roman" w:eastAsia="宋体"/>
                <w:lang w:eastAsia="zh-CN"/>
              </w:rPr>
            </w:pPr>
            <w:r>
              <w:rPr>
                <w:rFonts w:hint="eastAsia" w:ascii="Times New Roman"/>
                <w:lang w:val="en-US" w:eastAsia="zh-CN"/>
              </w:rPr>
              <w:t>3</w:t>
            </w:r>
          </w:p>
        </w:tc>
        <w:tc>
          <w:tcPr>
            <w:tcW w:w="280" w:type="pct"/>
            <w:vAlign w:val="center"/>
          </w:tcPr>
          <w:p w14:paraId="178D24AE">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09651B5C">
            <w:pPr>
              <w:pStyle w:val="26"/>
              <w:ind w:firstLine="0" w:firstLineChars="0"/>
              <w:rPr>
                <w:rFonts w:hint="eastAsia" w:ascii="Times New Roman" w:eastAsia="宋体"/>
                <w:lang w:eastAsia="zh-CN"/>
              </w:rPr>
            </w:pPr>
            <w:r>
              <w:rPr>
                <w:rFonts w:ascii="Times New Roman" w:eastAsia="Times New Roman"/>
              </w:rPr>
              <w:t>白酒企业</w:t>
            </w:r>
            <w:r>
              <w:rPr>
                <w:rFonts w:hint="eastAsia" w:ascii="Times New Roman"/>
                <w:lang w:val="en-US" w:eastAsia="zh-CN"/>
              </w:rPr>
              <w:t>应</w:t>
            </w:r>
            <w:r>
              <w:rPr>
                <w:rFonts w:ascii="Times New Roman" w:eastAsia="Times New Roman"/>
              </w:rPr>
              <w:t>按照《</w:t>
            </w:r>
            <w:r>
              <w:rPr>
                <w:rFonts w:hint="eastAsia" w:ascii="Times New Roman" w:eastAsia="Times New Roman"/>
              </w:rPr>
              <w:t>绿色制造 制造企业绿色供应链管理 采购控制</w:t>
            </w:r>
            <w:r>
              <w:rPr>
                <w:rFonts w:ascii="Times New Roman" w:eastAsia="Times New Roman"/>
              </w:rPr>
              <w:t>》（GB</w:t>
            </w:r>
            <w:r>
              <w:rPr>
                <w:rFonts w:hint="eastAsia" w:ascii="Times New Roman" w:eastAsia="Times New Roman"/>
              </w:rPr>
              <w:t>/</w:t>
            </w:r>
            <w:r>
              <w:rPr>
                <w:rFonts w:ascii="Times New Roman" w:eastAsia="Times New Roman"/>
              </w:rPr>
              <w:t>T 39258-2020）对供应商进行定期审核</w:t>
            </w:r>
            <w:r>
              <w:rPr>
                <w:rFonts w:hint="eastAsia" w:ascii="Times New Roman"/>
                <w:lang w:eastAsia="zh-CN"/>
              </w:rPr>
              <w:t>。</w:t>
            </w:r>
            <w:r>
              <w:rPr>
                <w:rFonts w:hint="eastAsia" w:ascii="Times New Roman"/>
                <w:lang w:val="en-US" w:eastAsia="zh-CN"/>
              </w:rPr>
              <w:t>对于审核情况，</w:t>
            </w:r>
            <w:r>
              <w:rPr>
                <w:rFonts w:hint="eastAsia" w:ascii="Times New Roman"/>
                <w:lang w:eastAsia="zh-CN"/>
              </w:rPr>
              <w:t>可对照标准按不足、良好和优秀，对应给出1、2和3分</w:t>
            </w:r>
            <w:r>
              <w:rPr>
                <w:rFonts w:hint="eastAsia" w:ascii="Times New Roman"/>
                <w:lang w:val="en-US" w:eastAsia="zh-CN"/>
              </w:rPr>
              <w:t>评价得分</w:t>
            </w:r>
            <w:r>
              <w:rPr>
                <w:rFonts w:hint="eastAsia" w:ascii="Times New Roman"/>
                <w:lang w:eastAsia="zh-CN"/>
              </w:rPr>
              <w:t>。</w:t>
            </w:r>
          </w:p>
        </w:tc>
        <w:tc>
          <w:tcPr>
            <w:tcW w:w="748" w:type="pct"/>
          </w:tcPr>
          <w:p w14:paraId="452DF21D">
            <w:pPr>
              <w:pStyle w:val="26"/>
              <w:ind w:firstLine="0" w:firstLineChars="0"/>
              <w:rPr>
                <w:rFonts w:ascii="Times New Roman" w:eastAsia="Times New Roman"/>
              </w:rPr>
            </w:pPr>
          </w:p>
        </w:tc>
        <w:tc>
          <w:tcPr>
            <w:tcW w:w="272" w:type="pct"/>
          </w:tcPr>
          <w:p w14:paraId="4FE25833">
            <w:pPr>
              <w:pStyle w:val="26"/>
              <w:ind w:firstLine="0" w:firstLineChars="0"/>
              <w:rPr>
                <w:rFonts w:ascii="Times New Roman" w:eastAsia="Times New Roman"/>
              </w:rPr>
            </w:pPr>
          </w:p>
        </w:tc>
      </w:tr>
      <w:tr w14:paraId="695E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6" w:hRule="atLeast"/>
        </w:trPr>
        <w:tc>
          <w:tcPr>
            <w:tcW w:w="373" w:type="pct"/>
            <w:vMerge w:val="continue"/>
            <w:vAlign w:val="center"/>
          </w:tcPr>
          <w:p w14:paraId="49C3F9D4">
            <w:pPr>
              <w:pStyle w:val="26"/>
              <w:rPr>
                <w:rFonts w:ascii="Times New Roman" w:eastAsia="Times New Roman"/>
              </w:rPr>
            </w:pPr>
          </w:p>
        </w:tc>
        <w:tc>
          <w:tcPr>
            <w:tcW w:w="280" w:type="pct"/>
            <w:vAlign w:val="center"/>
          </w:tcPr>
          <w:p w14:paraId="4EF13AA7">
            <w:pPr>
              <w:pStyle w:val="26"/>
              <w:ind w:firstLine="0" w:firstLineChars="0"/>
              <w:jc w:val="center"/>
              <w:rPr>
                <w:rFonts w:ascii="Times New Roman" w:eastAsia="Times New Roman"/>
              </w:rPr>
            </w:pPr>
            <w:r>
              <w:rPr>
                <w:rFonts w:ascii="Times New Roman" w:eastAsia="Times New Roman"/>
              </w:rPr>
              <w:t>7</w:t>
            </w:r>
          </w:p>
        </w:tc>
        <w:tc>
          <w:tcPr>
            <w:tcW w:w="468" w:type="pct"/>
            <w:vAlign w:val="center"/>
          </w:tcPr>
          <w:p w14:paraId="08DDAD44">
            <w:pPr>
              <w:pStyle w:val="26"/>
              <w:ind w:firstLine="0" w:firstLineChars="0"/>
              <w:rPr>
                <w:rFonts w:ascii="Times New Roman" w:eastAsia="Times New Roman"/>
              </w:rPr>
            </w:pPr>
            <w:r>
              <w:rPr>
                <w:rFonts w:ascii="Times New Roman" w:eastAsia="Times New Roman"/>
              </w:rPr>
              <w:t>建立供应商绩效评估和分类管理制度X24</w:t>
            </w:r>
          </w:p>
        </w:tc>
        <w:tc>
          <w:tcPr>
            <w:tcW w:w="327" w:type="pct"/>
            <w:vAlign w:val="center"/>
          </w:tcPr>
          <w:p w14:paraId="01117CDF">
            <w:pPr>
              <w:pStyle w:val="26"/>
              <w:ind w:firstLine="0" w:firstLineChars="0"/>
              <w:jc w:val="center"/>
              <w:rPr>
                <w:rFonts w:ascii="Times New Roman" w:eastAsia="Times New Roman"/>
              </w:rPr>
            </w:pPr>
            <w:r>
              <w:rPr>
                <w:rFonts w:ascii="Times New Roman" w:eastAsia="Times New Roman"/>
              </w:rPr>
              <w:t>7</w:t>
            </w:r>
          </w:p>
        </w:tc>
        <w:tc>
          <w:tcPr>
            <w:tcW w:w="280" w:type="pct"/>
            <w:vAlign w:val="center"/>
          </w:tcPr>
          <w:p w14:paraId="0CBAA52D">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3FB733EB">
            <w:pPr>
              <w:pStyle w:val="26"/>
              <w:ind w:firstLine="0" w:firstLineChars="0"/>
              <w:rPr>
                <w:rFonts w:ascii="Times New Roman" w:eastAsia="Times New Roman"/>
              </w:rPr>
            </w:pPr>
            <w:r>
              <w:rPr>
                <w:rFonts w:ascii="Times New Roman" w:eastAsia="Times New Roman"/>
              </w:rPr>
              <w:t>1、主要供应商绩效评估表中绿色要求包括内容：（1）供应商近三年内未发生过较大及以上生产安全和质量事故、Ⅲ级</w:t>
            </w:r>
            <w:r>
              <w:rPr>
                <w:rFonts w:hint="eastAsia" w:ascii="Times New Roman"/>
                <w:lang w:eastAsia="zh-CN"/>
              </w:rPr>
              <w:t>（</w:t>
            </w:r>
            <w:r>
              <w:rPr>
                <w:rFonts w:ascii="Times New Roman" w:eastAsia="Times New Roman"/>
              </w:rPr>
              <w:t>较大</w:t>
            </w:r>
            <w:r>
              <w:rPr>
                <w:rFonts w:hint="eastAsia" w:ascii="Times New Roman"/>
                <w:lang w:eastAsia="zh-CN"/>
              </w:rPr>
              <w:t>）</w:t>
            </w:r>
            <w:r>
              <w:rPr>
                <w:rFonts w:ascii="Times New Roman" w:eastAsia="Times New Roman"/>
              </w:rPr>
              <w:t>及以上突发环境污染事件；（2）供应商</w:t>
            </w:r>
            <w:r>
              <w:rPr>
                <w:rFonts w:hint="eastAsia" w:ascii="Times New Roman" w:eastAsia="Times New Roman"/>
              </w:rPr>
              <w:t>提供产品的检测报告和检测结果</w:t>
            </w:r>
            <w:r>
              <w:rPr>
                <w:rFonts w:ascii="Times New Roman" w:eastAsia="Times New Roman"/>
              </w:rPr>
              <w:t>，检测结果符合白酒企业采购的相关要求；（3）供应商产品易于再生利用；（4）供应商采用绿色包材；（5）供应商提供的用能产品达到二级能效以上要求等条款</w:t>
            </w:r>
            <w:r>
              <w:rPr>
                <w:rFonts w:hint="eastAsia" w:ascii="Times New Roman"/>
                <w:lang w:eastAsia="zh-CN"/>
              </w:rPr>
              <w:t>：</w:t>
            </w:r>
            <w:r>
              <w:rPr>
                <w:rFonts w:hint="eastAsia" w:ascii="Times New Roman"/>
                <w:lang w:val="en-US" w:eastAsia="zh-CN"/>
              </w:rPr>
              <w:t>评分要求</w:t>
            </w:r>
            <w:r>
              <w:rPr>
                <w:rFonts w:ascii="Times New Roman" w:eastAsia="Times New Roman"/>
              </w:rPr>
              <w:t>（1）为1分，其他每项0.5分，合计3分；</w:t>
            </w:r>
          </w:p>
          <w:p w14:paraId="405F55D9">
            <w:pPr>
              <w:pStyle w:val="26"/>
              <w:ind w:firstLine="0" w:firstLineChars="0"/>
              <w:rPr>
                <w:rFonts w:ascii="Times New Roman" w:eastAsia="Times New Roman"/>
              </w:rPr>
            </w:pPr>
            <w:r>
              <w:rPr>
                <w:rFonts w:ascii="Times New Roman" w:eastAsia="Times New Roman"/>
              </w:rPr>
              <w:t>2、主要供应商绩效评估包含绿色</w:t>
            </w:r>
            <w:r>
              <w:rPr>
                <w:rFonts w:hint="eastAsia" w:ascii="Times New Roman"/>
                <w:lang w:val="en-US" w:eastAsia="zh-CN"/>
              </w:rPr>
              <w:t>绩效</w:t>
            </w:r>
            <w:r>
              <w:rPr>
                <w:rFonts w:ascii="Times New Roman" w:eastAsia="Times New Roman"/>
              </w:rPr>
              <w:t>相应条款：1分；</w:t>
            </w:r>
          </w:p>
          <w:p w14:paraId="11C114DC">
            <w:pPr>
              <w:pStyle w:val="26"/>
              <w:ind w:firstLine="0" w:firstLineChars="0"/>
              <w:rPr>
                <w:rFonts w:ascii="Times New Roman" w:eastAsia="Times New Roman"/>
              </w:rPr>
            </w:pPr>
            <w:r>
              <w:rPr>
                <w:rFonts w:ascii="Times New Roman" w:eastAsia="Times New Roman"/>
              </w:rPr>
              <w:t>3、主要供应商的分类管理制度，其中包含绿色低碳相关内容：1分；</w:t>
            </w:r>
          </w:p>
          <w:p w14:paraId="54026B36">
            <w:pPr>
              <w:pStyle w:val="26"/>
              <w:ind w:firstLine="0" w:firstLineChars="0"/>
              <w:rPr>
                <w:rFonts w:ascii="Times New Roman" w:eastAsia="Times New Roman"/>
              </w:rPr>
            </w:pPr>
            <w:r>
              <w:rPr>
                <w:rFonts w:ascii="Times New Roman" w:eastAsia="Times New Roman"/>
              </w:rPr>
              <w:t>4、根据上述制度开展实施情况：2分。</w:t>
            </w:r>
          </w:p>
        </w:tc>
        <w:tc>
          <w:tcPr>
            <w:tcW w:w="748" w:type="pct"/>
          </w:tcPr>
          <w:p w14:paraId="5B9152B5">
            <w:pPr>
              <w:pStyle w:val="26"/>
              <w:ind w:firstLine="0" w:firstLineChars="0"/>
              <w:rPr>
                <w:rFonts w:ascii="Times New Roman" w:eastAsia="Times New Roman"/>
              </w:rPr>
            </w:pPr>
          </w:p>
        </w:tc>
        <w:tc>
          <w:tcPr>
            <w:tcW w:w="272" w:type="pct"/>
          </w:tcPr>
          <w:p w14:paraId="546859C3">
            <w:pPr>
              <w:pStyle w:val="26"/>
              <w:ind w:firstLine="0" w:firstLineChars="0"/>
              <w:rPr>
                <w:rFonts w:ascii="Times New Roman" w:eastAsia="Times New Roman"/>
              </w:rPr>
            </w:pPr>
          </w:p>
        </w:tc>
      </w:tr>
      <w:tr w14:paraId="1355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trPr>
        <w:tc>
          <w:tcPr>
            <w:tcW w:w="373" w:type="pct"/>
            <w:vMerge w:val="continue"/>
            <w:vAlign w:val="center"/>
          </w:tcPr>
          <w:p w14:paraId="0E9C8908">
            <w:pPr>
              <w:pStyle w:val="26"/>
              <w:rPr>
                <w:rFonts w:ascii="Times New Roman" w:eastAsia="Times New Roman"/>
              </w:rPr>
            </w:pPr>
          </w:p>
        </w:tc>
        <w:tc>
          <w:tcPr>
            <w:tcW w:w="280" w:type="pct"/>
            <w:vAlign w:val="center"/>
          </w:tcPr>
          <w:p w14:paraId="2E6B8D87">
            <w:pPr>
              <w:pStyle w:val="26"/>
              <w:ind w:firstLine="0" w:firstLineChars="0"/>
              <w:jc w:val="center"/>
              <w:rPr>
                <w:rFonts w:ascii="Times New Roman" w:eastAsia="Times New Roman"/>
              </w:rPr>
            </w:pPr>
            <w:r>
              <w:rPr>
                <w:rFonts w:ascii="Times New Roman" w:eastAsia="Times New Roman"/>
              </w:rPr>
              <w:t>8</w:t>
            </w:r>
          </w:p>
        </w:tc>
        <w:tc>
          <w:tcPr>
            <w:tcW w:w="468" w:type="pct"/>
            <w:vAlign w:val="center"/>
          </w:tcPr>
          <w:p w14:paraId="386F02EB">
            <w:pPr>
              <w:pStyle w:val="26"/>
              <w:ind w:firstLine="0" w:firstLineChars="0"/>
              <w:jc w:val="center"/>
              <w:rPr>
                <w:rFonts w:ascii="Times New Roman" w:eastAsia="Times New Roman"/>
              </w:rPr>
            </w:pPr>
            <w:r>
              <w:rPr>
                <w:rFonts w:ascii="Times New Roman" w:eastAsia="Times New Roman"/>
              </w:rPr>
              <w:t>定期对供应商进行培训X25</w:t>
            </w:r>
          </w:p>
        </w:tc>
        <w:tc>
          <w:tcPr>
            <w:tcW w:w="327" w:type="pct"/>
            <w:vAlign w:val="center"/>
          </w:tcPr>
          <w:p w14:paraId="71FA4345">
            <w:pPr>
              <w:pStyle w:val="26"/>
              <w:ind w:firstLine="0" w:firstLineChars="0"/>
              <w:jc w:val="center"/>
              <w:rPr>
                <w:rFonts w:ascii="Times New Roman" w:eastAsia="Times New Roman"/>
              </w:rPr>
            </w:pPr>
            <w:r>
              <w:rPr>
                <w:rFonts w:ascii="Times New Roman" w:eastAsia="Times New Roman"/>
              </w:rPr>
              <w:t>3</w:t>
            </w:r>
          </w:p>
        </w:tc>
        <w:tc>
          <w:tcPr>
            <w:tcW w:w="280" w:type="pct"/>
            <w:vAlign w:val="center"/>
          </w:tcPr>
          <w:p w14:paraId="3A136B79">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05F77A97">
            <w:pPr>
              <w:pStyle w:val="26"/>
              <w:ind w:firstLine="0" w:firstLineChars="0"/>
              <w:rPr>
                <w:rFonts w:ascii="Times New Roman" w:eastAsia="Times New Roman"/>
              </w:rPr>
            </w:pPr>
            <w:r>
              <w:rPr>
                <w:rFonts w:ascii="Times New Roman" w:eastAsia="Times New Roman"/>
              </w:rPr>
              <w:t>白酒企业有供应商培训制度和合作机制的文件：2分，每年对供应商进行培训（包括供应商大会）：1分。</w:t>
            </w:r>
          </w:p>
        </w:tc>
        <w:tc>
          <w:tcPr>
            <w:tcW w:w="748" w:type="pct"/>
          </w:tcPr>
          <w:p w14:paraId="2DF95BF6">
            <w:pPr>
              <w:pStyle w:val="26"/>
              <w:ind w:firstLine="0" w:firstLineChars="0"/>
              <w:rPr>
                <w:rFonts w:ascii="Times New Roman" w:eastAsia="Times New Roman"/>
              </w:rPr>
            </w:pPr>
          </w:p>
        </w:tc>
        <w:tc>
          <w:tcPr>
            <w:tcW w:w="272" w:type="pct"/>
          </w:tcPr>
          <w:p w14:paraId="4D4458E9">
            <w:pPr>
              <w:pStyle w:val="26"/>
              <w:ind w:firstLine="0" w:firstLineChars="0"/>
              <w:rPr>
                <w:rFonts w:ascii="Times New Roman" w:eastAsia="Times New Roman"/>
              </w:rPr>
            </w:pPr>
          </w:p>
        </w:tc>
      </w:tr>
      <w:tr w14:paraId="4692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trPr>
        <w:tc>
          <w:tcPr>
            <w:tcW w:w="373" w:type="pct"/>
            <w:vMerge w:val="continue"/>
            <w:vAlign w:val="center"/>
          </w:tcPr>
          <w:p w14:paraId="0E1DBAD1">
            <w:pPr>
              <w:pStyle w:val="26"/>
              <w:rPr>
                <w:rFonts w:ascii="Times New Roman" w:eastAsia="Times New Roman"/>
              </w:rPr>
            </w:pPr>
          </w:p>
        </w:tc>
        <w:tc>
          <w:tcPr>
            <w:tcW w:w="280" w:type="pct"/>
            <w:vAlign w:val="center"/>
          </w:tcPr>
          <w:p w14:paraId="1D8EE468">
            <w:pPr>
              <w:pStyle w:val="26"/>
              <w:ind w:firstLine="0" w:firstLineChars="0"/>
              <w:jc w:val="center"/>
              <w:rPr>
                <w:rFonts w:ascii="Times New Roman" w:eastAsia="Times New Roman"/>
              </w:rPr>
            </w:pPr>
            <w:r>
              <w:rPr>
                <w:rFonts w:ascii="Times New Roman" w:eastAsia="Times New Roman"/>
              </w:rPr>
              <w:t>9</w:t>
            </w:r>
          </w:p>
        </w:tc>
        <w:tc>
          <w:tcPr>
            <w:tcW w:w="468" w:type="pct"/>
            <w:vAlign w:val="center"/>
          </w:tcPr>
          <w:p w14:paraId="6A44D742">
            <w:pPr>
              <w:pStyle w:val="26"/>
              <w:ind w:firstLine="0" w:firstLineChars="0"/>
              <w:jc w:val="center"/>
              <w:rPr>
                <w:rFonts w:ascii="Times New Roman" w:eastAsia="Times New Roman"/>
              </w:rPr>
            </w:pPr>
            <w:r>
              <w:rPr>
                <w:rFonts w:ascii="Times New Roman" w:eastAsia="Times New Roman"/>
              </w:rPr>
              <w:t>低风险供应商占比X26</w:t>
            </w:r>
          </w:p>
        </w:tc>
        <w:tc>
          <w:tcPr>
            <w:tcW w:w="327" w:type="pct"/>
            <w:vAlign w:val="center"/>
          </w:tcPr>
          <w:p w14:paraId="2887DED4">
            <w:pPr>
              <w:pStyle w:val="26"/>
              <w:ind w:firstLine="0" w:firstLineChars="0"/>
              <w:jc w:val="center"/>
              <w:rPr>
                <w:rFonts w:hint="eastAsia" w:ascii="Times New Roman" w:eastAsia="宋体"/>
                <w:lang w:eastAsia="zh-CN"/>
              </w:rPr>
            </w:pPr>
            <w:r>
              <w:rPr>
                <w:rFonts w:hint="eastAsia" w:ascii="Times New Roman"/>
                <w:lang w:val="en-US" w:eastAsia="zh-CN"/>
              </w:rPr>
              <w:t>5</w:t>
            </w:r>
          </w:p>
        </w:tc>
        <w:tc>
          <w:tcPr>
            <w:tcW w:w="280" w:type="pct"/>
            <w:vAlign w:val="center"/>
          </w:tcPr>
          <w:p w14:paraId="7C5BCE40">
            <w:pPr>
              <w:pStyle w:val="26"/>
              <w:ind w:firstLine="0" w:firstLineChars="0"/>
              <w:jc w:val="center"/>
              <w:rPr>
                <w:rFonts w:ascii="Times New Roman" w:eastAsia="Times New Roman"/>
              </w:rPr>
            </w:pPr>
            <w:r>
              <w:rPr>
                <w:rFonts w:ascii="Times New Roman" w:eastAsia="Times New Roman"/>
              </w:rPr>
              <w:t>定量</w:t>
            </w:r>
          </w:p>
        </w:tc>
        <w:tc>
          <w:tcPr>
            <w:tcW w:w="2250" w:type="pct"/>
          </w:tcPr>
          <w:p w14:paraId="55C5BC26">
            <w:pPr>
              <w:pStyle w:val="26"/>
              <w:ind w:firstLine="0" w:firstLineChars="0"/>
              <w:rPr>
                <w:rFonts w:ascii="Times New Roman" w:eastAsia="Times New Roman"/>
              </w:rPr>
            </w:pPr>
            <w:r>
              <w:rPr>
                <w:rFonts w:ascii="Times New Roman" w:eastAsia="Times New Roman"/>
              </w:rPr>
              <w:t>白酒企业的低风险供应商是指三年内没有出现违规违法情形、在供应商绩效评估中属于中等以上水平的供应商。基准值为80%。达到或超过80%的分值为</w:t>
            </w:r>
            <w:r>
              <w:rPr>
                <w:rFonts w:hint="eastAsia" w:ascii="Times New Roman"/>
                <w:lang w:val="en-US" w:eastAsia="zh-CN"/>
              </w:rPr>
              <w:t>5</w:t>
            </w:r>
            <w:r>
              <w:rPr>
                <w:rFonts w:ascii="Times New Roman" w:eastAsia="Times New Roman"/>
              </w:rPr>
              <w:t>分，低于 80%的分值=比例值/80%×</w:t>
            </w:r>
            <w:r>
              <w:rPr>
                <w:rFonts w:hint="eastAsia" w:ascii="Times New Roman"/>
                <w:lang w:val="en-US" w:eastAsia="zh-CN"/>
              </w:rPr>
              <w:t>5</w:t>
            </w:r>
            <w:r>
              <w:rPr>
                <w:rFonts w:ascii="Times New Roman" w:eastAsia="Times New Roman"/>
              </w:rPr>
              <w:t>。</w:t>
            </w:r>
          </w:p>
        </w:tc>
        <w:tc>
          <w:tcPr>
            <w:tcW w:w="748" w:type="pct"/>
          </w:tcPr>
          <w:p w14:paraId="7BE7D414">
            <w:pPr>
              <w:pStyle w:val="26"/>
              <w:ind w:firstLine="0" w:firstLineChars="0"/>
              <w:rPr>
                <w:rFonts w:ascii="Times New Roman" w:eastAsia="Times New Roman"/>
              </w:rPr>
            </w:pPr>
          </w:p>
        </w:tc>
        <w:tc>
          <w:tcPr>
            <w:tcW w:w="272" w:type="pct"/>
          </w:tcPr>
          <w:p w14:paraId="327C10AE">
            <w:pPr>
              <w:pStyle w:val="26"/>
              <w:ind w:firstLine="0" w:firstLineChars="0"/>
              <w:rPr>
                <w:rFonts w:ascii="Times New Roman" w:eastAsia="Times New Roman"/>
              </w:rPr>
            </w:pPr>
          </w:p>
        </w:tc>
      </w:tr>
      <w:tr w14:paraId="466D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373" w:type="pct"/>
            <w:vMerge w:val="restart"/>
            <w:vAlign w:val="center"/>
          </w:tcPr>
          <w:p w14:paraId="0E114CC8">
            <w:pPr>
              <w:pStyle w:val="26"/>
              <w:ind w:firstLine="0" w:firstLineChars="0"/>
              <w:jc w:val="center"/>
              <w:rPr>
                <w:rFonts w:ascii="Times New Roman" w:eastAsia="Times New Roman"/>
              </w:rPr>
            </w:pPr>
            <w:r>
              <w:rPr>
                <w:rFonts w:ascii="Times New Roman" w:eastAsia="Times New Roman"/>
              </w:rPr>
              <w:t>绿色生产X3</w:t>
            </w:r>
          </w:p>
          <w:p w14:paraId="7B0BBE17">
            <w:pPr>
              <w:pStyle w:val="26"/>
              <w:ind w:firstLine="0" w:firstLineChars="0"/>
              <w:jc w:val="center"/>
              <w:rPr>
                <w:rFonts w:ascii="Times New Roman" w:eastAsia="Times New Roman"/>
              </w:rPr>
            </w:pPr>
            <w:r>
              <w:rPr>
                <w:rFonts w:ascii="Times New Roman" w:eastAsia="Times New Roman"/>
              </w:rPr>
              <w:t>（25分）</w:t>
            </w:r>
          </w:p>
        </w:tc>
        <w:tc>
          <w:tcPr>
            <w:tcW w:w="280" w:type="pct"/>
            <w:vAlign w:val="center"/>
          </w:tcPr>
          <w:p w14:paraId="5271D73C">
            <w:pPr>
              <w:pStyle w:val="26"/>
              <w:ind w:firstLine="0" w:firstLineChars="0"/>
              <w:jc w:val="center"/>
              <w:rPr>
                <w:rFonts w:ascii="Times New Roman" w:eastAsia="Times New Roman"/>
              </w:rPr>
            </w:pPr>
            <w:r>
              <w:rPr>
                <w:rFonts w:ascii="Times New Roman" w:eastAsia="Times New Roman"/>
              </w:rPr>
              <w:t>10</w:t>
            </w:r>
          </w:p>
        </w:tc>
        <w:tc>
          <w:tcPr>
            <w:tcW w:w="468" w:type="pct"/>
            <w:vAlign w:val="center"/>
          </w:tcPr>
          <w:p w14:paraId="184E4EE9">
            <w:pPr>
              <w:pStyle w:val="26"/>
              <w:ind w:firstLine="0" w:firstLineChars="0"/>
              <w:jc w:val="center"/>
              <w:rPr>
                <w:rFonts w:ascii="Times New Roman" w:eastAsia="Times New Roman"/>
              </w:rPr>
            </w:pPr>
            <w:r>
              <w:rPr>
                <w:rFonts w:ascii="Times New Roman" w:eastAsia="Times New Roman"/>
              </w:rPr>
              <w:t>产品绿色设计要求X31</w:t>
            </w:r>
          </w:p>
        </w:tc>
        <w:tc>
          <w:tcPr>
            <w:tcW w:w="327" w:type="pct"/>
            <w:vAlign w:val="center"/>
          </w:tcPr>
          <w:p w14:paraId="432600A0">
            <w:pPr>
              <w:pStyle w:val="26"/>
              <w:ind w:firstLine="0" w:firstLineChars="0"/>
              <w:jc w:val="center"/>
              <w:rPr>
                <w:rFonts w:ascii="Times New Roman" w:eastAsia="Times New Roman"/>
              </w:rPr>
            </w:pPr>
            <w:r>
              <w:rPr>
                <w:rFonts w:ascii="Times New Roman" w:eastAsia="Times New Roman"/>
              </w:rPr>
              <w:t>8</w:t>
            </w:r>
          </w:p>
        </w:tc>
        <w:tc>
          <w:tcPr>
            <w:tcW w:w="280" w:type="pct"/>
            <w:vAlign w:val="center"/>
          </w:tcPr>
          <w:p w14:paraId="13FC3CD2">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50AD0355">
            <w:pPr>
              <w:pStyle w:val="26"/>
              <w:ind w:firstLine="0" w:firstLineChars="0"/>
              <w:rPr>
                <w:rFonts w:ascii="Times New Roman" w:eastAsia="Times New Roman"/>
              </w:rPr>
            </w:pPr>
            <w:r>
              <w:rPr>
                <w:rFonts w:ascii="Times New Roman" w:eastAsia="Times New Roman"/>
              </w:rPr>
              <w:t>1、白酒产品引入生态设计的理念，</w:t>
            </w:r>
            <w:r>
              <w:rPr>
                <w:rFonts w:hint="eastAsia" w:ascii="Times New Roman" w:eastAsia="Times New Roman"/>
              </w:rPr>
              <w:t>按照</w:t>
            </w:r>
            <w:r>
              <w:rPr>
                <w:rFonts w:ascii="Times New Roman" w:eastAsia="Times New Roman"/>
              </w:rPr>
              <w:t>GB/T 24256对生产的主要白酒产品进行生态设计，依据GB/T 32161 对生产的主要白酒产品进行生态设计产品评价，满足绿色产品（生态设计产品）评价要求并出具报告：1分；</w:t>
            </w:r>
          </w:p>
          <w:p w14:paraId="7606D258">
            <w:pPr>
              <w:pStyle w:val="26"/>
              <w:ind w:firstLine="0" w:firstLineChars="0"/>
              <w:rPr>
                <w:rFonts w:ascii="Times New Roman" w:eastAsia="Times New Roman"/>
              </w:rPr>
            </w:pPr>
            <w:r>
              <w:rPr>
                <w:rFonts w:ascii="Times New Roman" w:eastAsia="Times New Roman"/>
              </w:rPr>
              <w:t>2、企业</w:t>
            </w:r>
            <w:r>
              <w:rPr>
                <w:rFonts w:hint="eastAsia" w:ascii="Times New Roman"/>
                <w:lang w:val="en-US" w:eastAsia="zh-CN"/>
              </w:rPr>
              <w:t>主要白酒</w:t>
            </w:r>
            <w:r>
              <w:rPr>
                <w:rFonts w:ascii="Times New Roman" w:eastAsia="Times New Roman"/>
              </w:rPr>
              <w:t>产品获得绿色</w:t>
            </w:r>
            <w:r>
              <w:rPr>
                <w:rFonts w:hint="eastAsia" w:ascii="Times New Roman"/>
                <w:lang w:val="en-US" w:eastAsia="zh-CN"/>
              </w:rPr>
              <w:t>食品</w:t>
            </w:r>
            <w:r>
              <w:rPr>
                <w:rFonts w:ascii="Times New Roman" w:eastAsia="Times New Roman"/>
              </w:rPr>
              <w:t>认证</w:t>
            </w:r>
            <w:r>
              <w:rPr>
                <w:rFonts w:hint="eastAsia" w:ascii="Times New Roman"/>
                <w:lang w:val="en-US" w:eastAsia="zh-CN"/>
              </w:rPr>
              <w:t>或有机产品认证</w:t>
            </w:r>
            <w:r>
              <w:rPr>
                <w:rFonts w:ascii="Times New Roman" w:eastAsia="Times New Roman"/>
              </w:rPr>
              <w:t>：</w:t>
            </w:r>
            <w:r>
              <w:rPr>
                <w:rFonts w:hint="eastAsia" w:ascii="Times New Roman"/>
                <w:lang w:val="en-US" w:eastAsia="zh-CN"/>
              </w:rPr>
              <w:t>2</w:t>
            </w:r>
            <w:r>
              <w:rPr>
                <w:rFonts w:ascii="Times New Roman" w:eastAsia="Times New Roman"/>
              </w:rPr>
              <w:t>分；</w:t>
            </w:r>
          </w:p>
          <w:p w14:paraId="614EEB4E">
            <w:pPr>
              <w:pStyle w:val="26"/>
              <w:ind w:firstLine="0" w:firstLineChars="0"/>
              <w:rPr>
                <w:rFonts w:ascii="Times New Roman" w:eastAsia="Times New Roman"/>
              </w:rPr>
            </w:pPr>
            <w:r>
              <w:rPr>
                <w:rFonts w:hint="eastAsia" w:ascii="Times New Roman"/>
                <w:lang w:val="en-US" w:eastAsia="zh-CN"/>
              </w:rPr>
              <w:t>3</w:t>
            </w:r>
            <w:r>
              <w:rPr>
                <w:rFonts w:ascii="Times New Roman" w:eastAsia="Times New Roman"/>
              </w:rPr>
              <w:t>、企业获得国家级绿色产品示范性企业：2分；</w:t>
            </w:r>
          </w:p>
          <w:p w14:paraId="03544D75">
            <w:pPr>
              <w:pStyle w:val="26"/>
              <w:ind w:firstLine="0" w:firstLineChars="0"/>
              <w:rPr>
                <w:rFonts w:ascii="Times New Roman" w:eastAsia="Times New Roman"/>
              </w:rPr>
            </w:pPr>
            <w:r>
              <w:rPr>
                <w:rFonts w:hint="eastAsia" w:ascii="Times New Roman"/>
                <w:lang w:val="en-US" w:eastAsia="zh-CN"/>
              </w:rPr>
              <w:t>4</w:t>
            </w:r>
            <w:r>
              <w:rPr>
                <w:rFonts w:ascii="Times New Roman" w:eastAsia="Times New Roman"/>
              </w:rPr>
              <w:t>、企业采用先进、绿色环保设计工艺，并提供证明材料：1分；</w:t>
            </w:r>
          </w:p>
          <w:p w14:paraId="0FB1B3FF">
            <w:pPr>
              <w:pStyle w:val="26"/>
              <w:ind w:firstLine="0" w:firstLineChars="0"/>
              <w:rPr>
                <w:rFonts w:ascii="Times New Roman" w:eastAsia="Times New Roman"/>
              </w:rPr>
            </w:pPr>
            <w:r>
              <w:rPr>
                <w:rFonts w:hint="eastAsia" w:ascii="Times New Roman"/>
                <w:lang w:val="en-US" w:eastAsia="zh-CN"/>
              </w:rPr>
              <w:t>5</w:t>
            </w:r>
            <w:r>
              <w:rPr>
                <w:rFonts w:ascii="Times New Roman" w:eastAsia="Times New Roman"/>
              </w:rPr>
              <w:t>、产品完成碳足迹报告：一种产品1分，最高2分。</w:t>
            </w:r>
          </w:p>
        </w:tc>
        <w:tc>
          <w:tcPr>
            <w:tcW w:w="748" w:type="pct"/>
          </w:tcPr>
          <w:p w14:paraId="5FDA271F">
            <w:pPr>
              <w:pStyle w:val="26"/>
              <w:ind w:firstLine="0" w:firstLineChars="0"/>
              <w:rPr>
                <w:rFonts w:ascii="Times New Roman" w:eastAsia="Times New Roman"/>
              </w:rPr>
            </w:pPr>
          </w:p>
        </w:tc>
        <w:tc>
          <w:tcPr>
            <w:tcW w:w="272" w:type="pct"/>
          </w:tcPr>
          <w:p w14:paraId="59F57AA5">
            <w:pPr>
              <w:pStyle w:val="26"/>
              <w:ind w:firstLine="0" w:firstLineChars="0"/>
              <w:rPr>
                <w:rFonts w:ascii="Times New Roman" w:eastAsia="Times New Roman"/>
              </w:rPr>
            </w:pPr>
          </w:p>
        </w:tc>
      </w:tr>
      <w:tr w14:paraId="53F5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trPr>
        <w:tc>
          <w:tcPr>
            <w:tcW w:w="373" w:type="pct"/>
            <w:vMerge w:val="continue"/>
            <w:vAlign w:val="center"/>
          </w:tcPr>
          <w:p w14:paraId="0E68BE73">
            <w:pPr>
              <w:pStyle w:val="26"/>
              <w:ind w:firstLine="0" w:firstLineChars="0"/>
              <w:jc w:val="center"/>
              <w:rPr>
                <w:rFonts w:ascii="Times New Roman" w:eastAsia="Times New Roman"/>
              </w:rPr>
            </w:pPr>
          </w:p>
        </w:tc>
        <w:tc>
          <w:tcPr>
            <w:tcW w:w="280" w:type="pct"/>
            <w:vAlign w:val="center"/>
          </w:tcPr>
          <w:p w14:paraId="390643BF">
            <w:pPr>
              <w:pStyle w:val="26"/>
              <w:ind w:firstLine="0" w:firstLineChars="0"/>
              <w:jc w:val="center"/>
              <w:rPr>
                <w:rFonts w:ascii="Times New Roman" w:eastAsia="Times New Roman"/>
              </w:rPr>
            </w:pPr>
            <w:r>
              <w:rPr>
                <w:rFonts w:ascii="Times New Roman" w:eastAsia="Times New Roman"/>
              </w:rPr>
              <w:t>11</w:t>
            </w:r>
          </w:p>
        </w:tc>
        <w:tc>
          <w:tcPr>
            <w:tcW w:w="468" w:type="pct"/>
            <w:vAlign w:val="center"/>
          </w:tcPr>
          <w:p w14:paraId="1A162BFA">
            <w:pPr>
              <w:pStyle w:val="26"/>
              <w:ind w:firstLine="0" w:firstLineChars="0"/>
              <w:jc w:val="center"/>
              <w:rPr>
                <w:rFonts w:ascii="Times New Roman" w:eastAsia="Times New Roman"/>
              </w:rPr>
            </w:pPr>
            <w:r>
              <w:rPr>
                <w:rFonts w:ascii="Times New Roman" w:eastAsia="Times New Roman"/>
              </w:rPr>
              <w:t>创建绿色工厂X32</w:t>
            </w:r>
          </w:p>
        </w:tc>
        <w:tc>
          <w:tcPr>
            <w:tcW w:w="327" w:type="pct"/>
            <w:vAlign w:val="center"/>
          </w:tcPr>
          <w:p w14:paraId="6B3FE863">
            <w:pPr>
              <w:pStyle w:val="26"/>
              <w:ind w:firstLine="0" w:firstLineChars="0"/>
              <w:jc w:val="center"/>
              <w:rPr>
                <w:rFonts w:ascii="Times New Roman" w:eastAsia="Times New Roman"/>
              </w:rPr>
            </w:pPr>
            <w:r>
              <w:rPr>
                <w:rFonts w:ascii="Times New Roman" w:eastAsia="Times New Roman"/>
              </w:rPr>
              <w:t>8</w:t>
            </w:r>
          </w:p>
        </w:tc>
        <w:tc>
          <w:tcPr>
            <w:tcW w:w="280" w:type="pct"/>
            <w:vAlign w:val="center"/>
          </w:tcPr>
          <w:p w14:paraId="16EAA6F1">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7BB5CAF5">
            <w:pPr>
              <w:pStyle w:val="26"/>
              <w:ind w:firstLine="0" w:firstLineChars="0"/>
              <w:rPr>
                <w:rFonts w:ascii="Times New Roman" w:eastAsia="Times New Roman"/>
              </w:rPr>
            </w:pPr>
            <w:r>
              <w:rPr>
                <w:rFonts w:ascii="Times New Roman" w:eastAsia="Times New Roman"/>
              </w:rPr>
              <w:t>白酒企业通过国家级绿色工厂：8分；通过省级绿色工厂：5分；通过市级绿色工厂：2分。</w:t>
            </w:r>
          </w:p>
        </w:tc>
        <w:tc>
          <w:tcPr>
            <w:tcW w:w="748" w:type="pct"/>
          </w:tcPr>
          <w:p w14:paraId="0524037D">
            <w:pPr>
              <w:pStyle w:val="26"/>
              <w:ind w:firstLine="0" w:firstLineChars="0"/>
              <w:rPr>
                <w:rFonts w:ascii="Times New Roman" w:eastAsia="Times New Roman"/>
              </w:rPr>
            </w:pPr>
          </w:p>
        </w:tc>
        <w:tc>
          <w:tcPr>
            <w:tcW w:w="272" w:type="pct"/>
          </w:tcPr>
          <w:p w14:paraId="13C54EEE">
            <w:pPr>
              <w:pStyle w:val="26"/>
              <w:ind w:firstLine="0" w:firstLineChars="0"/>
              <w:rPr>
                <w:rFonts w:ascii="Times New Roman" w:eastAsia="Times New Roman"/>
              </w:rPr>
            </w:pPr>
          </w:p>
        </w:tc>
      </w:tr>
      <w:tr w14:paraId="5A68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trPr>
        <w:tc>
          <w:tcPr>
            <w:tcW w:w="373" w:type="pct"/>
            <w:vMerge w:val="continue"/>
            <w:vAlign w:val="center"/>
          </w:tcPr>
          <w:p w14:paraId="5EBA4DFE">
            <w:pPr>
              <w:pStyle w:val="26"/>
              <w:rPr>
                <w:rFonts w:ascii="Times New Roman" w:eastAsia="Times New Roman"/>
              </w:rPr>
            </w:pPr>
          </w:p>
        </w:tc>
        <w:tc>
          <w:tcPr>
            <w:tcW w:w="280" w:type="pct"/>
            <w:vAlign w:val="center"/>
          </w:tcPr>
          <w:p w14:paraId="5F8B500E">
            <w:pPr>
              <w:pStyle w:val="26"/>
              <w:ind w:firstLine="0" w:firstLineChars="0"/>
              <w:jc w:val="center"/>
              <w:rPr>
                <w:rFonts w:ascii="Times New Roman" w:eastAsia="Times New Roman"/>
              </w:rPr>
            </w:pPr>
            <w:r>
              <w:rPr>
                <w:rFonts w:ascii="Times New Roman" w:eastAsia="Times New Roman"/>
              </w:rPr>
              <w:t>12</w:t>
            </w:r>
          </w:p>
        </w:tc>
        <w:tc>
          <w:tcPr>
            <w:tcW w:w="468" w:type="pct"/>
            <w:vAlign w:val="center"/>
          </w:tcPr>
          <w:p w14:paraId="1CC278B3">
            <w:pPr>
              <w:pStyle w:val="26"/>
              <w:ind w:firstLine="0" w:firstLineChars="0"/>
              <w:jc w:val="center"/>
              <w:rPr>
                <w:rFonts w:ascii="Times New Roman" w:eastAsia="Times New Roman"/>
              </w:rPr>
            </w:pPr>
            <w:r>
              <w:rPr>
                <w:rFonts w:ascii="Times New Roman" w:eastAsia="Times New Roman"/>
              </w:rPr>
              <w:t>节能环保合规 X33</w:t>
            </w:r>
          </w:p>
        </w:tc>
        <w:tc>
          <w:tcPr>
            <w:tcW w:w="327" w:type="pct"/>
            <w:vAlign w:val="center"/>
          </w:tcPr>
          <w:p w14:paraId="0709B757">
            <w:pPr>
              <w:pStyle w:val="26"/>
              <w:ind w:firstLine="0" w:firstLineChars="0"/>
              <w:jc w:val="center"/>
              <w:rPr>
                <w:rFonts w:ascii="Times New Roman" w:eastAsia="Times New Roman"/>
              </w:rPr>
            </w:pPr>
            <w:r>
              <w:rPr>
                <w:rFonts w:ascii="Times New Roman" w:eastAsia="Times New Roman"/>
              </w:rPr>
              <w:t>7</w:t>
            </w:r>
          </w:p>
        </w:tc>
        <w:tc>
          <w:tcPr>
            <w:tcW w:w="280" w:type="pct"/>
            <w:vAlign w:val="center"/>
          </w:tcPr>
          <w:p w14:paraId="7A67483C">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33BBAB25">
            <w:pPr>
              <w:pStyle w:val="26"/>
              <w:ind w:firstLine="0" w:firstLineChars="0"/>
              <w:rPr>
                <w:rFonts w:ascii="Times New Roman" w:eastAsia="Times New Roman"/>
              </w:rPr>
            </w:pPr>
            <w:r>
              <w:rPr>
                <w:rFonts w:ascii="Times New Roman" w:eastAsia="Times New Roman"/>
              </w:rPr>
              <w:t>1、白酒企业建立、实施并保持满足GB/T19001要求的质量管理体系、GB/T45001要求的职业健康安全管理体系、GB/T24001要求的环境管理体系和 GB/T23331 要求的能源管理体系并取得认证，每项0.5分。</w:t>
            </w:r>
          </w:p>
          <w:p w14:paraId="242A452C">
            <w:pPr>
              <w:pStyle w:val="26"/>
              <w:ind w:firstLine="0" w:firstLineChars="0"/>
              <w:rPr>
                <w:rFonts w:ascii="Times New Roman" w:eastAsia="Times New Roman"/>
              </w:rPr>
            </w:pPr>
            <w:r>
              <w:rPr>
                <w:rFonts w:ascii="Times New Roman" w:eastAsia="Times New Roman"/>
              </w:rPr>
              <w:t>2、白酒企业定期开展能源审计、清洁生产审核、节能诊断，每项0.5分最高1.5分。</w:t>
            </w:r>
          </w:p>
          <w:p w14:paraId="31E6C51C">
            <w:pPr>
              <w:pStyle w:val="26"/>
              <w:ind w:firstLine="0" w:firstLineChars="0"/>
              <w:rPr>
                <w:rFonts w:hint="eastAsia" w:ascii="Times New Roman" w:eastAsia="Times New Roman"/>
              </w:rPr>
            </w:pPr>
            <w:r>
              <w:rPr>
                <w:rFonts w:ascii="Times New Roman" w:eastAsia="Times New Roman"/>
              </w:rPr>
              <w:t>3、</w:t>
            </w:r>
            <w:r>
              <w:rPr>
                <w:rFonts w:hint="eastAsia" w:ascii="Times New Roman" w:eastAsia="Times New Roman"/>
              </w:rPr>
              <w:t>政府安全、环保、能源等相关部门汇集行业专家对企业开展综合诊断或者审核，并出具有效证明材料：1分。</w:t>
            </w:r>
          </w:p>
          <w:p w14:paraId="65FDD400">
            <w:pPr>
              <w:pStyle w:val="26"/>
              <w:ind w:firstLine="0" w:firstLineChars="0"/>
              <w:rPr>
                <w:rFonts w:ascii="Times New Roman" w:eastAsia="Times New Roman"/>
              </w:rPr>
            </w:pPr>
            <w:r>
              <w:rPr>
                <w:rFonts w:ascii="Times New Roman" w:eastAsia="Times New Roman"/>
              </w:rPr>
              <w:t>4、白酒企业应具</w:t>
            </w:r>
            <w:r>
              <w:rPr>
                <w:rFonts w:hint="eastAsia" w:ascii="Times New Roman"/>
                <w:lang w:val="en-US" w:eastAsia="zh-CN"/>
              </w:rPr>
              <w:t>备</w:t>
            </w:r>
            <w:r>
              <w:rPr>
                <w:rFonts w:ascii="Times New Roman" w:eastAsia="Times New Roman"/>
              </w:rPr>
              <w:t>完善的污水处理设施</w:t>
            </w:r>
            <w:r>
              <w:rPr>
                <w:rFonts w:hint="eastAsia" w:ascii="Times New Roman"/>
                <w:lang w:eastAsia="zh-CN"/>
              </w:rPr>
              <w:t>；</w:t>
            </w:r>
            <w:r>
              <w:rPr>
                <w:rFonts w:ascii="Times New Roman" w:eastAsia="Times New Roman"/>
              </w:rPr>
              <w:t>排污</w:t>
            </w:r>
            <w:r>
              <w:rPr>
                <w:rFonts w:hint="eastAsia" w:ascii="Times New Roman"/>
                <w:lang w:val="en-US" w:eastAsia="zh-CN"/>
              </w:rPr>
              <w:t>口安装环保在线</w:t>
            </w:r>
            <w:r>
              <w:rPr>
                <w:rFonts w:ascii="Times New Roman" w:eastAsia="Times New Roman"/>
              </w:rPr>
              <w:t>监测平台；</w:t>
            </w:r>
            <w:r>
              <w:rPr>
                <w:rFonts w:hint="eastAsia" w:ascii="Times New Roman"/>
                <w:lang w:val="en-US" w:eastAsia="zh-CN"/>
              </w:rPr>
              <w:t>污水处理环节</w:t>
            </w:r>
            <w:r>
              <w:rPr>
                <w:rFonts w:ascii="Times New Roman" w:eastAsia="Times New Roman"/>
              </w:rPr>
              <w:t>产生</w:t>
            </w:r>
            <w:r>
              <w:rPr>
                <w:rFonts w:hint="eastAsia" w:ascii="Times New Roman"/>
                <w:lang w:val="en-US" w:eastAsia="zh-CN"/>
              </w:rPr>
              <w:t>的</w:t>
            </w:r>
            <w:r>
              <w:rPr>
                <w:rFonts w:ascii="Times New Roman" w:eastAsia="Times New Roman"/>
              </w:rPr>
              <w:t>沼气处置利用率超过90%以上</w:t>
            </w:r>
            <w:r>
              <w:rPr>
                <w:rFonts w:hint="eastAsia" w:ascii="Times New Roman"/>
                <w:lang w:eastAsia="zh-CN"/>
              </w:rPr>
              <w:t xml:space="preserve">：每个0.5分，合计1.5分。 </w:t>
            </w:r>
          </w:p>
          <w:p w14:paraId="2AF3723A">
            <w:pPr>
              <w:pStyle w:val="26"/>
              <w:ind w:firstLine="0" w:firstLineChars="0"/>
              <w:rPr>
                <w:rFonts w:ascii="Times New Roman" w:eastAsia="Times New Roman"/>
              </w:rPr>
            </w:pPr>
            <w:r>
              <w:rPr>
                <w:rFonts w:ascii="Times New Roman" w:eastAsia="Times New Roman"/>
              </w:rPr>
              <w:t>5、</w:t>
            </w:r>
            <w:r>
              <w:rPr>
                <w:rFonts w:hint="eastAsia" w:ascii="Times New Roman" w:eastAsia="Times New Roman"/>
              </w:rPr>
              <w:t>白酒企业获得国家级、省级以上节能或节水奖励证书或表扬</w:t>
            </w:r>
            <w:r>
              <w:rPr>
                <w:rFonts w:ascii="Times New Roman" w:eastAsia="Times New Roman"/>
              </w:rPr>
              <w:t>：1分。</w:t>
            </w:r>
          </w:p>
        </w:tc>
        <w:tc>
          <w:tcPr>
            <w:tcW w:w="748" w:type="pct"/>
          </w:tcPr>
          <w:p w14:paraId="12938492">
            <w:pPr>
              <w:pStyle w:val="26"/>
              <w:ind w:firstLine="0" w:firstLineChars="0"/>
              <w:rPr>
                <w:rFonts w:ascii="Times New Roman" w:eastAsia="Times New Roman"/>
              </w:rPr>
            </w:pPr>
          </w:p>
        </w:tc>
        <w:tc>
          <w:tcPr>
            <w:tcW w:w="272" w:type="pct"/>
          </w:tcPr>
          <w:p w14:paraId="33E25EE3">
            <w:pPr>
              <w:pStyle w:val="26"/>
              <w:ind w:firstLine="0" w:firstLineChars="0"/>
              <w:rPr>
                <w:rFonts w:ascii="Times New Roman" w:eastAsia="Times New Roman"/>
              </w:rPr>
            </w:pPr>
          </w:p>
        </w:tc>
      </w:tr>
      <w:tr w14:paraId="6E84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trPr>
        <w:tc>
          <w:tcPr>
            <w:tcW w:w="373" w:type="pct"/>
            <w:vMerge w:val="continue"/>
            <w:vAlign w:val="center"/>
          </w:tcPr>
          <w:p w14:paraId="1ADC530D">
            <w:pPr>
              <w:pStyle w:val="26"/>
              <w:rPr>
                <w:rFonts w:ascii="Times New Roman" w:eastAsia="Times New Roman"/>
              </w:rPr>
            </w:pPr>
          </w:p>
        </w:tc>
        <w:tc>
          <w:tcPr>
            <w:tcW w:w="280" w:type="pct"/>
            <w:vAlign w:val="center"/>
          </w:tcPr>
          <w:p w14:paraId="16DA22D9">
            <w:pPr>
              <w:pStyle w:val="26"/>
              <w:ind w:firstLine="0" w:firstLineChars="0"/>
              <w:jc w:val="center"/>
              <w:rPr>
                <w:rFonts w:ascii="Times New Roman" w:eastAsia="Times New Roman"/>
              </w:rPr>
            </w:pPr>
            <w:r>
              <w:rPr>
                <w:rFonts w:ascii="Times New Roman" w:eastAsia="Times New Roman"/>
              </w:rPr>
              <w:t>13</w:t>
            </w:r>
          </w:p>
        </w:tc>
        <w:tc>
          <w:tcPr>
            <w:tcW w:w="468" w:type="pct"/>
            <w:vAlign w:val="center"/>
          </w:tcPr>
          <w:p w14:paraId="08ACCCF4">
            <w:pPr>
              <w:pStyle w:val="26"/>
              <w:ind w:firstLine="0" w:firstLineChars="0"/>
              <w:jc w:val="center"/>
              <w:rPr>
                <w:rFonts w:ascii="Times New Roman" w:eastAsia="Times New Roman"/>
              </w:rPr>
            </w:pPr>
            <w:r>
              <w:rPr>
                <w:rFonts w:ascii="Times New Roman" w:eastAsia="Times New Roman"/>
              </w:rPr>
              <w:t>有害物质限制使用X34</w:t>
            </w:r>
          </w:p>
        </w:tc>
        <w:tc>
          <w:tcPr>
            <w:tcW w:w="327" w:type="pct"/>
            <w:vAlign w:val="center"/>
          </w:tcPr>
          <w:p w14:paraId="1A9D12AF">
            <w:pPr>
              <w:pStyle w:val="26"/>
              <w:ind w:firstLine="0" w:firstLineChars="0"/>
              <w:jc w:val="center"/>
              <w:rPr>
                <w:rFonts w:ascii="Times New Roman" w:eastAsia="Times New Roman"/>
              </w:rPr>
            </w:pPr>
            <w:r>
              <w:rPr>
                <w:rFonts w:ascii="Times New Roman" w:eastAsia="Times New Roman"/>
              </w:rPr>
              <w:t>2</w:t>
            </w:r>
          </w:p>
        </w:tc>
        <w:tc>
          <w:tcPr>
            <w:tcW w:w="280" w:type="pct"/>
            <w:vAlign w:val="center"/>
          </w:tcPr>
          <w:p w14:paraId="6BE2F4AC">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5B15C9CF">
            <w:pPr>
              <w:pStyle w:val="26"/>
              <w:ind w:firstLine="0" w:firstLineChars="0"/>
              <w:rPr>
                <w:rFonts w:ascii="Times New Roman" w:eastAsia="Times New Roman"/>
              </w:rPr>
            </w:pPr>
            <w:r>
              <w:rPr>
                <w:rFonts w:ascii="Times New Roman" w:eastAsia="Times New Roman"/>
              </w:rPr>
              <w:t>白酒企业对于原料和包装材料中有毒有害物质的使用，制定相关的检出标准并符合国家、行业和地方最高要求：1分；企业定期对原料、包材和生产的产品进行检测1分。</w:t>
            </w:r>
          </w:p>
        </w:tc>
        <w:tc>
          <w:tcPr>
            <w:tcW w:w="748" w:type="pct"/>
          </w:tcPr>
          <w:p w14:paraId="11DD1A94">
            <w:pPr>
              <w:pStyle w:val="26"/>
              <w:ind w:firstLine="0" w:firstLineChars="0"/>
              <w:rPr>
                <w:rFonts w:ascii="Times New Roman" w:eastAsia="Times New Roman"/>
              </w:rPr>
            </w:pPr>
          </w:p>
        </w:tc>
        <w:tc>
          <w:tcPr>
            <w:tcW w:w="272" w:type="pct"/>
          </w:tcPr>
          <w:p w14:paraId="70661D75">
            <w:pPr>
              <w:pStyle w:val="26"/>
              <w:ind w:firstLine="0" w:firstLineChars="0"/>
              <w:rPr>
                <w:rFonts w:ascii="Times New Roman" w:eastAsia="Times New Roman"/>
              </w:rPr>
            </w:pPr>
          </w:p>
        </w:tc>
      </w:tr>
      <w:tr w14:paraId="21F4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trPr>
        <w:tc>
          <w:tcPr>
            <w:tcW w:w="373" w:type="pct"/>
            <w:vMerge w:val="restart"/>
            <w:vAlign w:val="center"/>
          </w:tcPr>
          <w:p w14:paraId="426AFF65">
            <w:pPr>
              <w:pStyle w:val="26"/>
              <w:ind w:firstLine="0" w:firstLineChars="0"/>
              <w:rPr>
                <w:rFonts w:ascii="Times New Roman" w:eastAsia="Times New Roman"/>
              </w:rPr>
            </w:pPr>
            <w:r>
              <w:rPr>
                <w:rFonts w:ascii="Times New Roman" w:eastAsia="Times New Roman"/>
              </w:rPr>
              <w:t>绿色回收X4（10分）</w:t>
            </w:r>
          </w:p>
        </w:tc>
        <w:tc>
          <w:tcPr>
            <w:tcW w:w="280" w:type="pct"/>
            <w:vAlign w:val="center"/>
          </w:tcPr>
          <w:p w14:paraId="59FAF5C6">
            <w:pPr>
              <w:pStyle w:val="26"/>
              <w:ind w:firstLine="0" w:firstLineChars="0"/>
              <w:jc w:val="center"/>
              <w:rPr>
                <w:rFonts w:ascii="Times New Roman" w:eastAsia="Times New Roman"/>
              </w:rPr>
            </w:pPr>
            <w:r>
              <w:rPr>
                <w:rFonts w:ascii="Times New Roman" w:eastAsia="Times New Roman"/>
              </w:rPr>
              <w:t>14</w:t>
            </w:r>
          </w:p>
        </w:tc>
        <w:tc>
          <w:tcPr>
            <w:tcW w:w="468" w:type="pct"/>
            <w:vAlign w:val="center"/>
          </w:tcPr>
          <w:p w14:paraId="689D0515">
            <w:pPr>
              <w:pStyle w:val="26"/>
              <w:ind w:firstLine="0" w:firstLineChars="0"/>
              <w:jc w:val="center"/>
              <w:rPr>
                <w:rFonts w:ascii="Times New Roman" w:eastAsia="Times New Roman"/>
              </w:rPr>
            </w:pPr>
            <w:r>
              <w:rPr>
                <w:rFonts w:ascii="Times New Roman" w:eastAsia="Times New Roman"/>
              </w:rPr>
              <w:t>白酒企业对生产过程中产生的主要废弃物有效的利用X41</w:t>
            </w:r>
          </w:p>
        </w:tc>
        <w:tc>
          <w:tcPr>
            <w:tcW w:w="327" w:type="pct"/>
            <w:vAlign w:val="center"/>
          </w:tcPr>
          <w:p w14:paraId="241D39E5">
            <w:pPr>
              <w:pStyle w:val="26"/>
              <w:ind w:firstLine="0" w:firstLineChars="0"/>
              <w:jc w:val="center"/>
              <w:rPr>
                <w:rFonts w:hint="eastAsia" w:ascii="Times New Roman" w:eastAsia="宋体"/>
                <w:lang w:eastAsia="zh-CN"/>
              </w:rPr>
            </w:pPr>
            <w:r>
              <w:rPr>
                <w:rFonts w:hint="eastAsia" w:ascii="Times New Roman"/>
                <w:lang w:val="en-US" w:eastAsia="zh-CN"/>
              </w:rPr>
              <w:t>4</w:t>
            </w:r>
          </w:p>
        </w:tc>
        <w:tc>
          <w:tcPr>
            <w:tcW w:w="280" w:type="pct"/>
            <w:vAlign w:val="center"/>
          </w:tcPr>
          <w:p w14:paraId="0A500A8A">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78BC61DB">
            <w:pPr>
              <w:pStyle w:val="26"/>
              <w:ind w:firstLine="0" w:firstLineChars="0"/>
              <w:rPr>
                <w:rFonts w:ascii="Times New Roman" w:eastAsia="Times New Roman"/>
              </w:rPr>
            </w:pPr>
            <w:r>
              <w:rPr>
                <w:rFonts w:ascii="Times New Roman" w:eastAsia="Times New Roman"/>
              </w:rPr>
              <w:t>1、白酒企业对生产过程中产生的危废委托有资质的企业进行处置，</w:t>
            </w:r>
            <w:r>
              <w:rPr>
                <w:rFonts w:hint="eastAsia" w:ascii="Times New Roman"/>
                <w:lang w:val="en-US" w:eastAsia="zh-CN"/>
              </w:rPr>
              <w:t>2</w:t>
            </w:r>
            <w:r>
              <w:rPr>
                <w:rFonts w:ascii="Times New Roman" w:eastAsia="Times New Roman"/>
              </w:rPr>
              <w:t>分。</w:t>
            </w:r>
          </w:p>
          <w:p w14:paraId="46D683AA">
            <w:pPr>
              <w:pStyle w:val="26"/>
              <w:ind w:firstLine="0" w:firstLineChars="0"/>
              <w:rPr>
                <w:rFonts w:ascii="Times New Roman" w:eastAsia="Times New Roman"/>
              </w:rPr>
            </w:pPr>
            <w:r>
              <w:rPr>
                <w:rFonts w:ascii="Times New Roman" w:eastAsia="Times New Roman"/>
              </w:rPr>
              <w:t>2、白酒企业对产生的酒糟综合利用，如制造饲料等，</w:t>
            </w:r>
            <w:r>
              <w:rPr>
                <w:rFonts w:hint="eastAsia" w:ascii="Times New Roman"/>
                <w:lang w:val="en-US" w:eastAsia="zh-CN"/>
              </w:rPr>
              <w:t>1</w:t>
            </w:r>
            <w:r>
              <w:rPr>
                <w:rFonts w:ascii="Times New Roman" w:eastAsia="Times New Roman"/>
              </w:rPr>
              <w:t>分。</w:t>
            </w:r>
          </w:p>
          <w:p w14:paraId="1E09383D">
            <w:pPr>
              <w:pStyle w:val="26"/>
              <w:ind w:firstLine="0" w:firstLineChars="0"/>
              <w:rPr>
                <w:rFonts w:ascii="Times New Roman" w:eastAsia="Times New Roman"/>
              </w:rPr>
            </w:pPr>
            <w:r>
              <w:rPr>
                <w:rFonts w:ascii="Times New Roman" w:eastAsia="Times New Roman"/>
              </w:rPr>
              <w:t>3、白酒企业对生产过程中产生的黄水等废水综合利用，</w:t>
            </w:r>
            <w:r>
              <w:rPr>
                <w:rFonts w:hint="eastAsia" w:ascii="Times New Roman"/>
                <w:lang w:val="en-US" w:eastAsia="zh-CN"/>
              </w:rPr>
              <w:t>1</w:t>
            </w:r>
            <w:r>
              <w:rPr>
                <w:rFonts w:ascii="Times New Roman" w:eastAsia="Times New Roman"/>
              </w:rPr>
              <w:t>分。</w:t>
            </w:r>
          </w:p>
        </w:tc>
        <w:tc>
          <w:tcPr>
            <w:tcW w:w="748" w:type="pct"/>
          </w:tcPr>
          <w:p w14:paraId="25C5DE44">
            <w:pPr>
              <w:pStyle w:val="26"/>
              <w:ind w:firstLine="0" w:firstLineChars="0"/>
              <w:rPr>
                <w:rFonts w:ascii="Times New Roman" w:eastAsia="Times New Roman"/>
              </w:rPr>
            </w:pPr>
          </w:p>
        </w:tc>
        <w:tc>
          <w:tcPr>
            <w:tcW w:w="272" w:type="pct"/>
          </w:tcPr>
          <w:p w14:paraId="052B7470">
            <w:pPr>
              <w:pStyle w:val="26"/>
              <w:ind w:firstLine="0" w:firstLineChars="0"/>
              <w:rPr>
                <w:rFonts w:ascii="Times New Roman" w:eastAsia="Times New Roman"/>
              </w:rPr>
            </w:pPr>
          </w:p>
        </w:tc>
      </w:tr>
      <w:tr w14:paraId="1B6B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373" w:type="pct"/>
            <w:vMerge w:val="continue"/>
            <w:vAlign w:val="center"/>
          </w:tcPr>
          <w:p w14:paraId="395AD426">
            <w:pPr>
              <w:pStyle w:val="26"/>
              <w:ind w:firstLine="0" w:firstLineChars="0"/>
              <w:jc w:val="center"/>
              <w:rPr>
                <w:rFonts w:ascii="Times New Roman" w:eastAsia="Times New Roman"/>
              </w:rPr>
            </w:pPr>
          </w:p>
        </w:tc>
        <w:tc>
          <w:tcPr>
            <w:tcW w:w="280" w:type="pct"/>
            <w:vAlign w:val="center"/>
          </w:tcPr>
          <w:p w14:paraId="7FD25FFD">
            <w:pPr>
              <w:pStyle w:val="26"/>
              <w:ind w:firstLine="0" w:firstLineChars="0"/>
              <w:jc w:val="center"/>
              <w:rPr>
                <w:rFonts w:ascii="Times New Roman" w:eastAsia="Times New Roman"/>
              </w:rPr>
            </w:pPr>
            <w:r>
              <w:rPr>
                <w:rFonts w:ascii="Times New Roman" w:eastAsia="Times New Roman"/>
              </w:rPr>
              <w:t>15</w:t>
            </w:r>
          </w:p>
        </w:tc>
        <w:tc>
          <w:tcPr>
            <w:tcW w:w="468" w:type="pct"/>
            <w:vAlign w:val="center"/>
          </w:tcPr>
          <w:p w14:paraId="7FA2E2BD">
            <w:pPr>
              <w:pStyle w:val="26"/>
              <w:ind w:firstLine="0" w:firstLineChars="0"/>
              <w:jc w:val="center"/>
              <w:rPr>
                <w:rFonts w:ascii="Times New Roman" w:eastAsia="Times New Roman"/>
              </w:rPr>
            </w:pPr>
            <w:r>
              <w:rPr>
                <w:rFonts w:ascii="Times New Roman" w:eastAsia="Times New Roman"/>
              </w:rPr>
              <w:t>出具包材拆解清单和回收利用清册，并对供应商提出绿色包材要求X42</w:t>
            </w:r>
          </w:p>
        </w:tc>
        <w:tc>
          <w:tcPr>
            <w:tcW w:w="327" w:type="pct"/>
            <w:vAlign w:val="center"/>
          </w:tcPr>
          <w:p w14:paraId="503B4EF8">
            <w:pPr>
              <w:pStyle w:val="26"/>
              <w:ind w:firstLine="0" w:firstLineChars="0"/>
              <w:jc w:val="center"/>
              <w:rPr>
                <w:rFonts w:ascii="Times New Roman" w:eastAsia="Times New Roman"/>
              </w:rPr>
            </w:pPr>
            <w:r>
              <w:rPr>
                <w:rFonts w:ascii="Times New Roman" w:eastAsia="Times New Roman"/>
              </w:rPr>
              <w:t>2</w:t>
            </w:r>
          </w:p>
        </w:tc>
        <w:tc>
          <w:tcPr>
            <w:tcW w:w="280" w:type="pct"/>
            <w:vAlign w:val="center"/>
          </w:tcPr>
          <w:p w14:paraId="17C26E0A">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57E3BF07">
            <w:pPr>
              <w:pStyle w:val="26"/>
              <w:ind w:firstLine="0" w:firstLineChars="0"/>
              <w:rPr>
                <w:rFonts w:ascii="Times New Roman" w:eastAsia="Times New Roman"/>
              </w:rPr>
            </w:pPr>
            <w:r>
              <w:rPr>
                <w:rFonts w:ascii="Times New Roman" w:eastAsia="Times New Roman"/>
              </w:rPr>
              <w:t>白酒企业公布包装材料（如纸、玻璃、金属和纺织品）等组分的拆解清单和相关包材的回收利用清册：1分；白酒企业采用的包装材料依据GB/T37422-2019《绿色包装评价方法与准则》中相关内容进行评价:1分。</w:t>
            </w:r>
          </w:p>
        </w:tc>
        <w:tc>
          <w:tcPr>
            <w:tcW w:w="748" w:type="pct"/>
          </w:tcPr>
          <w:p w14:paraId="4C94CD36">
            <w:pPr>
              <w:pStyle w:val="26"/>
              <w:ind w:firstLine="0" w:firstLineChars="0"/>
              <w:rPr>
                <w:rFonts w:ascii="Times New Roman" w:eastAsia="Times New Roman"/>
              </w:rPr>
            </w:pPr>
          </w:p>
        </w:tc>
        <w:tc>
          <w:tcPr>
            <w:tcW w:w="272" w:type="pct"/>
          </w:tcPr>
          <w:p w14:paraId="4E5D17B7">
            <w:pPr>
              <w:pStyle w:val="26"/>
              <w:ind w:firstLine="0" w:firstLineChars="0"/>
              <w:rPr>
                <w:rFonts w:ascii="Times New Roman" w:eastAsia="Times New Roman"/>
              </w:rPr>
            </w:pPr>
          </w:p>
        </w:tc>
      </w:tr>
      <w:tr w14:paraId="2704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0" w:hRule="atLeast"/>
        </w:trPr>
        <w:tc>
          <w:tcPr>
            <w:tcW w:w="373" w:type="pct"/>
            <w:vMerge w:val="continue"/>
            <w:vAlign w:val="center"/>
          </w:tcPr>
          <w:p w14:paraId="4EE1C41B">
            <w:pPr>
              <w:pStyle w:val="26"/>
              <w:ind w:firstLine="0" w:firstLineChars="0"/>
              <w:jc w:val="center"/>
              <w:rPr>
                <w:rFonts w:ascii="Times New Roman" w:eastAsia="Times New Roman"/>
              </w:rPr>
            </w:pPr>
          </w:p>
        </w:tc>
        <w:tc>
          <w:tcPr>
            <w:tcW w:w="280" w:type="pct"/>
            <w:vAlign w:val="center"/>
          </w:tcPr>
          <w:p w14:paraId="412BE91C">
            <w:pPr>
              <w:pStyle w:val="26"/>
              <w:ind w:firstLine="0" w:firstLineChars="0"/>
              <w:jc w:val="center"/>
              <w:rPr>
                <w:rFonts w:ascii="Times New Roman" w:eastAsia="Times New Roman"/>
              </w:rPr>
            </w:pPr>
            <w:r>
              <w:rPr>
                <w:rFonts w:ascii="Times New Roman" w:eastAsia="Times New Roman"/>
              </w:rPr>
              <w:t>16</w:t>
            </w:r>
          </w:p>
        </w:tc>
        <w:tc>
          <w:tcPr>
            <w:tcW w:w="468" w:type="pct"/>
            <w:vAlign w:val="center"/>
          </w:tcPr>
          <w:p w14:paraId="13BE1602">
            <w:pPr>
              <w:pStyle w:val="26"/>
              <w:ind w:firstLine="0" w:firstLineChars="0"/>
              <w:jc w:val="center"/>
              <w:rPr>
                <w:rFonts w:ascii="Times New Roman" w:eastAsia="Times New Roman"/>
              </w:rPr>
            </w:pPr>
            <w:r>
              <w:rPr>
                <w:rFonts w:ascii="Times New Roman" w:eastAsia="Times New Roman"/>
              </w:rPr>
              <w:t>包装回收率X43</w:t>
            </w:r>
          </w:p>
        </w:tc>
        <w:tc>
          <w:tcPr>
            <w:tcW w:w="327" w:type="pct"/>
            <w:vAlign w:val="center"/>
          </w:tcPr>
          <w:p w14:paraId="0ABBDEAA">
            <w:pPr>
              <w:pStyle w:val="26"/>
              <w:ind w:firstLine="0" w:firstLineChars="0"/>
              <w:jc w:val="center"/>
              <w:rPr>
                <w:rFonts w:ascii="Times New Roman" w:eastAsia="Times New Roman"/>
              </w:rPr>
            </w:pPr>
            <w:r>
              <w:rPr>
                <w:rFonts w:ascii="Times New Roman" w:eastAsia="Times New Roman"/>
              </w:rPr>
              <w:t>4</w:t>
            </w:r>
          </w:p>
        </w:tc>
        <w:tc>
          <w:tcPr>
            <w:tcW w:w="280" w:type="pct"/>
            <w:vAlign w:val="center"/>
          </w:tcPr>
          <w:p w14:paraId="75751843">
            <w:pPr>
              <w:pStyle w:val="26"/>
              <w:ind w:firstLine="0" w:firstLineChars="0"/>
              <w:jc w:val="center"/>
              <w:rPr>
                <w:rFonts w:ascii="Times New Roman" w:eastAsia="Times New Roman"/>
              </w:rPr>
            </w:pPr>
            <w:r>
              <w:rPr>
                <w:rFonts w:ascii="Times New Roman" w:eastAsia="Times New Roman"/>
              </w:rPr>
              <w:t>定量</w:t>
            </w:r>
          </w:p>
        </w:tc>
        <w:tc>
          <w:tcPr>
            <w:tcW w:w="2250" w:type="pct"/>
            <w:vAlign w:val="center"/>
          </w:tcPr>
          <w:p w14:paraId="4ABDFF30">
            <w:pPr>
              <w:pStyle w:val="26"/>
              <w:ind w:firstLine="0" w:firstLineChars="0"/>
              <w:rPr>
                <w:rFonts w:ascii="Times New Roman" w:eastAsia="Times New Roman"/>
              </w:rPr>
            </w:pPr>
            <w:r>
              <w:rPr>
                <w:rFonts w:ascii="Times New Roman" w:eastAsia="Times New Roman"/>
              </w:rPr>
              <w:t>依据白酒企业公布包装材料（如纸、玻璃、金属和纺织品）等组分的拆解清单，</w:t>
            </w:r>
            <w:r>
              <w:rPr>
                <w:rFonts w:hint="eastAsia" w:ascii="Times New Roman"/>
                <w:lang w:val="en-US" w:eastAsia="zh-CN"/>
              </w:rPr>
              <w:t>通过清单</w:t>
            </w:r>
            <w:r>
              <w:rPr>
                <w:rFonts w:ascii="Times New Roman" w:eastAsia="Times New Roman"/>
              </w:rPr>
              <w:t>计算</w:t>
            </w:r>
            <w:r>
              <w:rPr>
                <w:rFonts w:hint="eastAsia" w:ascii="Times New Roman"/>
                <w:lang w:val="en-US" w:eastAsia="zh-CN"/>
              </w:rPr>
              <w:t>有价值</w:t>
            </w:r>
            <w:r>
              <w:rPr>
                <w:rFonts w:ascii="Times New Roman" w:eastAsia="Times New Roman"/>
              </w:rPr>
              <w:t>包装</w:t>
            </w:r>
            <w:r>
              <w:rPr>
                <w:rFonts w:hint="eastAsia" w:ascii="Times New Roman"/>
                <w:lang w:val="en-US" w:eastAsia="zh-CN"/>
              </w:rPr>
              <w:t>材料的</w:t>
            </w:r>
            <w:r>
              <w:rPr>
                <w:rFonts w:ascii="Times New Roman" w:eastAsia="Times New Roman"/>
              </w:rPr>
              <w:t>回收率X42的基准值为80%，达到或超过80%得4分，其他分值的计算：比例值/80%*4。选取白酒企业三种主导产品计算包装回收率，最终结果按三种产品平均值选取。</w:t>
            </w:r>
          </w:p>
        </w:tc>
        <w:tc>
          <w:tcPr>
            <w:tcW w:w="748" w:type="pct"/>
          </w:tcPr>
          <w:p w14:paraId="6BDC1745">
            <w:pPr>
              <w:pStyle w:val="26"/>
              <w:ind w:firstLine="0" w:firstLineChars="0"/>
              <w:rPr>
                <w:rFonts w:ascii="Times New Roman" w:eastAsia="Times New Roman"/>
              </w:rPr>
            </w:pPr>
          </w:p>
        </w:tc>
        <w:tc>
          <w:tcPr>
            <w:tcW w:w="272" w:type="pct"/>
          </w:tcPr>
          <w:p w14:paraId="79F76690">
            <w:pPr>
              <w:pStyle w:val="26"/>
              <w:ind w:firstLine="0" w:firstLineChars="0"/>
              <w:rPr>
                <w:rFonts w:ascii="Times New Roman" w:eastAsia="Times New Roman"/>
              </w:rPr>
            </w:pPr>
          </w:p>
        </w:tc>
      </w:tr>
      <w:tr w14:paraId="5CF7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373" w:type="pct"/>
            <w:vAlign w:val="center"/>
          </w:tcPr>
          <w:p w14:paraId="68515E66">
            <w:pPr>
              <w:pStyle w:val="26"/>
              <w:ind w:firstLine="0" w:firstLineChars="0"/>
              <w:jc w:val="center"/>
              <w:rPr>
                <w:rFonts w:ascii="Times New Roman" w:eastAsia="Times New Roman"/>
              </w:rPr>
            </w:pPr>
            <w:r>
              <w:rPr>
                <w:rFonts w:ascii="Times New Roman" w:eastAsia="Times New Roman"/>
              </w:rPr>
              <w:t>绿色信息平台建设X5</w:t>
            </w:r>
          </w:p>
          <w:p w14:paraId="1222F214">
            <w:pPr>
              <w:pStyle w:val="26"/>
              <w:ind w:firstLine="0" w:firstLineChars="0"/>
              <w:jc w:val="center"/>
              <w:rPr>
                <w:rFonts w:ascii="Times New Roman" w:eastAsia="Times New Roman"/>
              </w:rPr>
            </w:pPr>
            <w:r>
              <w:rPr>
                <w:rFonts w:ascii="Times New Roman" w:eastAsia="Times New Roman"/>
              </w:rPr>
              <w:t>（15分）</w:t>
            </w:r>
          </w:p>
        </w:tc>
        <w:tc>
          <w:tcPr>
            <w:tcW w:w="280" w:type="pct"/>
            <w:vAlign w:val="center"/>
          </w:tcPr>
          <w:p w14:paraId="24543BA6">
            <w:pPr>
              <w:pStyle w:val="26"/>
              <w:ind w:firstLine="0" w:firstLineChars="0"/>
              <w:jc w:val="center"/>
              <w:rPr>
                <w:rFonts w:ascii="Times New Roman" w:eastAsia="Times New Roman"/>
              </w:rPr>
            </w:pPr>
            <w:r>
              <w:rPr>
                <w:rFonts w:ascii="Times New Roman" w:eastAsia="Times New Roman"/>
              </w:rPr>
              <w:t>17</w:t>
            </w:r>
          </w:p>
        </w:tc>
        <w:tc>
          <w:tcPr>
            <w:tcW w:w="468" w:type="pct"/>
            <w:vAlign w:val="center"/>
          </w:tcPr>
          <w:p w14:paraId="4490218B">
            <w:pPr>
              <w:pStyle w:val="26"/>
              <w:ind w:firstLine="0" w:firstLineChars="0"/>
              <w:jc w:val="center"/>
              <w:rPr>
                <w:rFonts w:ascii="Times New Roman" w:eastAsia="Times New Roman"/>
              </w:rPr>
            </w:pPr>
            <w:r>
              <w:rPr>
                <w:rFonts w:ascii="Times New Roman" w:eastAsia="Times New Roman"/>
              </w:rPr>
              <w:t>绿色供应链管理信息平台完善X51</w:t>
            </w:r>
          </w:p>
        </w:tc>
        <w:tc>
          <w:tcPr>
            <w:tcW w:w="327" w:type="pct"/>
            <w:vAlign w:val="center"/>
          </w:tcPr>
          <w:p w14:paraId="5A6A766B">
            <w:pPr>
              <w:pStyle w:val="26"/>
              <w:ind w:firstLine="0" w:firstLineChars="0"/>
              <w:jc w:val="center"/>
              <w:rPr>
                <w:rFonts w:ascii="Times New Roman" w:eastAsia="Times New Roman"/>
              </w:rPr>
            </w:pPr>
            <w:r>
              <w:rPr>
                <w:rFonts w:ascii="Times New Roman" w:eastAsia="Times New Roman"/>
              </w:rPr>
              <w:t>15</w:t>
            </w:r>
          </w:p>
        </w:tc>
        <w:tc>
          <w:tcPr>
            <w:tcW w:w="280" w:type="pct"/>
            <w:vAlign w:val="center"/>
          </w:tcPr>
          <w:p w14:paraId="5F68F620">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2C21B711">
            <w:pPr>
              <w:pStyle w:val="26"/>
              <w:ind w:firstLine="0" w:firstLineChars="0"/>
              <w:rPr>
                <w:rFonts w:ascii="Times New Roman" w:eastAsia="Times New Roman"/>
              </w:rPr>
            </w:pPr>
            <w:r>
              <w:rPr>
                <w:rFonts w:ascii="Times New Roman" w:eastAsia="Times New Roman"/>
              </w:rPr>
              <w:t>1、白酒企业绿色供应链管理信息平台，至少要包括以下三个子系统：（1）供应商管理信息系统；（2）绿色物料数据库；（3）产品溯源系统。每个1分，共3分。</w:t>
            </w:r>
          </w:p>
          <w:p w14:paraId="32F15338">
            <w:pPr>
              <w:pStyle w:val="26"/>
              <w:ind w:firstLine="0" w:firstLineChars="0"/>
              <w:rPr>
                <w:rFonts w:ascii="Times New Roman" w:eastAsia="Times New Roman"/>
              </w:rPr>
            </w:pPr>
            <w:r>
              <w:rPr>
                <w:rFonts w:ascii="Times New Roman" w:eastAsia="Times New Roman"/>
              </w:rPr>
              <w:t>2、白酒企业生产过程信息平台，信息平台包括白酒生产企业资源能源消耗、污染物排放、温室气体排放、资源综合利用效率等信息。每项3分，合计12分。</w:t>
            </w:r>
          </w:p>
        </w:tc>
        <w:tc>
          <w:tcPr>
            <w:tcW w:w="748" w:type="pct"/>
          </w:tcPr>
          <w:p w14:paraId="5D361720">
            <w:pPr>
              <w:pStyle w:val="26"/>
              <w:ind w:firstLine="0" w:firstLineChars="0"/>
              <w:rPr>
                <w:rFonts w:ascii="Times New Roman" w:eastAsia="Times New Roman"/>
              </w:rPr>
            </w:pPr>
          </w:p>
        </w:tc>
        <w:tc>
          <w:tcPr>
            <w:tcW w:w="272" w:type="pct"/>
          </w:tcPr>
          <w:p w14:paraId="2CA5A5D9">
            <w:pPr>
              <w:pStyle w:val="26"/>
              <w:ind w:firstLine="0" w:firstLineChars="0"/>
              <w:rPr>
                <w:rFonts w:ascii="Times New Roman" w:eastAsia="Times New Roman"/>
              </w:rPr>
            </w:pPr>
          </w:p>
        </w:tc>
      </w:tr>
      <w:tr w14:paraId="5F34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373" w:type="pct"/>
            <w:vMerge w:val="restart"/>
            <w:vAlign w:val="center"/>
          </w:tcPr>
          <w:p w14:paraId="7B4A7181">
            <w:pPr>
              <w:pStyle w:val="26"/>
              <w:ind w:firstLine="0" w:firstLineChars="0"/>
              <w:jc w:val="center"/>
              <w:rPr>
                <w:rFonts w:ascii="Times New Roman" w:eastAsia="Times New Roman"/>
              </w:rPr>
            </w:pPr>
            <w:r>
              <w:rPr>
                <w:rFonts w:ascii="Times New Roman" w:eastAsia="Times New Roman"/>
              </w:rPr>
              <w:t>绿色信息披露X6（15分）</w:t>
            </w:r>
          </w:p>
        </w:tc>
        <w:tc>
          <w:tcPr>
            <w:tcW w:w="280" w:type="pct"/>
            <w:vAlign w:val="center"/>
          </w:tcPr>
          <w:p w14:paraId="768D7189">
            <w:pPr>
              <w:pStyle w:val="26"/>
              <w:ind w:firstLine="0" w:firstLineChars="0"/>
              <w:jc w:val="center"/>
              <w:rPr>
                <w:rFonts w:ascii="Times New Roman" w:eastAsia="Times New Roman"/>
              </w:rPr>
            </w:pPr>
            <w:r>
              <w:rPr>
                <w:rFonts w:ascii="Times New Roman" w:eastAsia="Times New Roman"/>
              </w:rPr>
              <w:t>18</w:t>
            </w:r>
          </w:p>
        </w:tc>
        <w:tc>
          <w:tcPr>
            <w:tcW w:w="468" w:type="pct"/>
            <w:vAlign w:val="center"/>
          </w:tcPr>
          <w:p w14:paraId="720F009F">
            <w:pPr>
              <w:pStyle w:val="26"/>
              <w:ind w:firstLine="0" w:firstLineChars="0"/>
              <w:jc w:val="center"/>
              <w:rPr>
                <w:rFonts w:ascii="Times New Roman" w:eastAsia="Times New Roman"/>
              </w:rPr>
            </w:pPr>
            <w:r>
              <w:rPr>
                <w:rFonts w:ascii="Times New Roman" w:eastAsia="Times New Roman"/>
              </w:rPr>
              <w:t>披露企业节能减排减碳信息X61</w:t>
            </w:r>
          </w:p>
        </w:tc>
        <w:tc>
          <w:tcPr>
            <w:tcW w:w="327" w:type="pct"/>
            <w:vAlign w:val="center"/>
          </w:tcPr>
          <w:p w14:paraId="60F5A2FD">
            <w:pPr>
              <w:pStyle w:val="26"/>
              <w:ind w:firstLine="0" w:firstLineChars="0"/>
              <w:jc w:val="center"/>
              <w:rPr>
                <w:rFonts w:ascii="Times New Roman" w:eastAsia="Times New Roman"/>
              </w:rPr>
            </w:pPr>
            <w:r>
              <w:rPr>
                <w:rFonts w:ascii="Times New Roman" w:eastAsia="Times New Roman"/>
              </w:rPr>
              <w:t>4</w:t>
            </w:r>
          </w:p>
        </w:tc>
        <w:tc>
          <w:tcPr>
            <w:tcW w:w="280" w:type="pct"/>
            <w:vAlign w:val="center"/>
          </w:tcPr>
          <w:p w14:paraId="45656899">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0C2DAFED">
            <w:pPr>
              <w:pStyle w:val="26"/>
              <w:ind w:firstLine="0" w:firstLineChars="0"/>
              <w:rPr>
                <w:rFonts w:ascii="Times New Roman" w:eastAsia="Times New Roman"/>
              </w:rPr>
            </w:pPr>
            <w:r>
              <w:rPr>
                <w:rFonts w:ascii="Times New Roman" w:eastAsia="Times New Roman"/>
              </w:rPr>
              <w:t>在官方渠道上披露白酒企业减排信息具体包括资源能源消耗情况、能源资源利用效率、年度污染物排放情况及减少量、</w:t>
            </w:r>
            <w:r>
              <w:rPr>
                <w:rFonts w:hint="eastAsia" w:ascii="Times New Roman" w:eastAsia="Times New Roman"/>
              </w:rPr>
              <w:t>年度万元产值碳排放强度</w:t>
            </w:r>
            <w:r>
              <w:rPr>
                <w:rFonts w:hint="eastAsia" w:ascii="Times New Roman"/>
                <w:lang w:eastAsia="zh-CN"/>
              </w:rPr>
              <w:t>（</w:t>
            </w:r>
            <w:r>
              <w:rPr>
                <w:rFonts w:hint="eastAsia" w:ascii="Times New Roman" w:eastAsia="Times New Roman"/>
              </w:rPr>
              <w:t>或原酒碳排放强度变化</w:t>
            </w:r>
            <w:r>
              <w:rPr>
                <w:rFonts w:hint="eastAsia" w:ascii="Times New Roman"/>
                <w:lang w:eastAsia="zh-CN"/>
              </w:rPr>
              <w:t>）</w:t>
            </w:r>
            <w:r>
              <w:rPr>
                <w:rFonts w:ascii="Times New Roman" w:eastAsia="Times New Roman"/>
              </w:rPr>
              <w:t>等信息。每个信息披露1分，合计4分。</w:t>
            </w:r>
          </w:p>
        </w:tc>
        <w:tc>
          <w:tcPr>
            <w:tcW w:w="748" w:type="pct"/>
          </w:tcPr>
          <w:p w14:paraId="47545617">
            <w:pPr>
              <w:pStyle w:val="26"/>
              <w:ind w:firstLine="0" w:firstLineChars="0"/>
              <w:rPr>
                <w:rFonts w:ascii="Times New Roman" w:eastAsia="Times New Roman"/>
              </w:rPr>
            </w:pPr>
          </w:p>
        </w:tc>
        <w:tc>
          <w:tcPr>
            <w:tcW w:w="272" w:type="pct"/>
          </w:tcPr>
          <w:p w14:paraId="08A35DF8">
            <w:pPr>
              <w:pStyle w:val="26"/>
              <w:ind w:firstLine="0" w:firstLineChars="0"/>
              <w:rPr>
                <w:rFonts w:ascii="Times New Roman" w:eastAsia="Times New Roman"/>
              </w:rPr>
            </w:pPr>
          </w:p>
        </w:tc>
      </w:tr>
      <w:tr w14:paraId="5B52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8" w:hRule="atLeast"/>
        </w:trPr>
        <w:tc>
          <w:tcPr>
            <w:tcW w:w="373" w:type="pct"/>
            <w:vMerge w:val="continue"/>
            <w:vAlign w:val="center"/>
          </w:tcPr>
          <w:p w14:paraId="29994A2E">
            <w:pPr>
              <w:pStyle w:val="26"/>
              <w:rPr>
                <w:rFonts w:ascii="Times New Roman" w:eastAsia="Times New Roman"/>
              </w:rPr>
            </w:pPr>
          </w:p>
        </w:tc>
        <w:tc>
          <w:tcPr>
            <w:tcW w:w="280" w:type="pct"/>
            <w:vAlign w:val="center"/>
          </w:tcPr>
          <w:p w14:paraId="4AAEB5B6">
            <w:pPr>
              <w:pStyle w:val="26"/>
              <w:ind w:firstLine="0" w:firstLineChars="0"/>
              <w:jc w:val="center"/>
              <w:rPr>
                <w:rFonts w:ascii="Times New Roman" w:eastAsia="Times New Roman"/>
              </w:rPr>
            </w:pPr>
            <w:r>
              <w:rPr>
                <w:rFonts w:ascii="Times New Roman" w:eastAsia="Times New Roman"/>
              </w:rPr>
              <w:t>19</w:t>
            </w:r>
          </w:p>
        </w:tc>
        <w:tc>
          <w:tcPr>
            <w:tcW w:w="468" w:type="pct"/>
            <w:vAlign w:val="center"/>
          </w:tcPr>
          <w:p w14:paraId="0C1A0BD9">
            <w:pPr>
              <w:pStyle w:val="26"/>
              <w:ind w:firstLine="0" w:firstLineChars="0"/>
              <w:jc w:val="center"/>
              <w:rPr>
                <w:rFonts w:ascii="Times New Roman" w:eastAsia="Times New Roman"/>
              </w:rPr>
            </w:pPr>
            <w:r>
              <w:rPr>
                <w:rFonts w:ascii="Times New Roman" w:eastAsia="Times New Roman"/>
              </w:rPr>
              <w:t>披露高、中风险供应商审核率及低风险供应商占比X62</w:t>
            </w:r>
          </w:p>
        </w:tc>
        <w:tc>
          <w:tcPr>
            <w:tcW w:w="327" w:type="pct"/>
            <w:vAlign w:val="center"/>
          </w:tcPr>
          <w:p w14:paraId="4BED2BDD">
            <w:pPr>
              <w:pStyle w:val="26"/>
              <w:ind w:firstLine="0" w:firstLineChars="0"/>
              <w:jc w:val="center"/>
              <w:rPr>
                <w:rFonts w:ascii="Times New Roman" w:eastAsia="Times New Roman"/>
              </w:rPr>
            </w:pPr>
            <w:r>
              <w:rPr>
                <w:rFonts w:ascii="Times New Roman" w:eastAsia="Times New Roman"/>
              </w:rPr>
              <w:t>4</w:t>
            </w:r>
          </w:p>
        </w:tc>
        <w:tc>
          <w:tcPr>
            <w:tcW w:w="280" w:type="pct"/>
            <w:vAlign w:val="center"/>
          </w:tcPr>
          <w:p w14:paraId="512507D2">
            <w:pPr>
              <w:pStyle w:val="26"/>
              <w:ind w:firstLine="0" w:firstLineChars="0"/>
              <w:jc w:val="center"/>
              <w:rPr>
                <w:rFonts w:ascii="Times New Roman" w:eastAsia="Times New Roman"/>
              </w:rPr>
            </w:pPr>
            <w:r>
              <w:rPr>
                <w:rFonts w:ascii="Times New Roman" w:eastAsia="Times New Roman"/>
              </w:rPr>
              <w:t>定量</w:t>
            </w:r>
          </w:p>
        </w:tc>
        <w:tc>
          <w:tcPr>
            <w:tcW w:w="2250" w:type="pct"/>
          </w:tcPr>
          <w:p w14:paraId="641792AD">
            <w:pPr>
              <w:pStyle w:val="26"/>
              <w:ind w:firstLine="0" w:firstLineChars="0"/>
              <w:rPr>
                <w:rFonts w:ascii="Times New Roman" w:eastAsia="Times New Roman"/>
              </w:rPr>
            </w:pPr>
            <w:r>
              <w:rPr>
                <w:rFonts w:ascii="Times New Roman" w:eastAsia="Times New Roman"/>
              </w:rPr>
              <w:t>白酒企业应对外披露高、中风险供应商审核率，2分；白酒企业应对外披露低风险供应商占比</w:t>
            </w:r>
            <w:r>
              <w:rPr>
                <w:rFonts w:hint="eastAsia" w:ascii="Times New Roman"/>
                <w:lang w:eastAsia="zh-CN"/>
              </w:rPr>
              <w:t>，</w:t>
            </w:r>
            <w:r>
              <w:rPr>
                <w:rFonts w:ascii="Times New Roman" w:eastAsia="Times New Roman"/>
              </w:rPr>
              <w:t>2分。</w:t>
            </w:r>
          </w:p>
        </w:tc>
        <w:tc>
          <w:tcPr>
            <w:tcW w:w="748" w:type="pct"/>
          </w:tcPr>
          <w:p w14:paraId="54B976FA">
            <w:pPr>
              <w:pStyle w:val="26"/>
              <w:ind w:firstLine="0" w:firstLineChars="0"/>
              <w:rPr>
                <w:rFonts w:ascii="Times New Roman" w:eastAsia="Times New Roman"/>
              </w:rPr>
            </w:pPr>
          </w:p>
        </w:tc>
        <w:tc>
          <w:tcPr>
            <w:tcW w:w="272" w:type="pct"/>
          </w:tcPr>
          <w:p w14:paraId="5DBF42DB">
            <w:pPr>
              <w:pStyle w:val="26"/>
              <w:ind w:firstLine="0" w:firstLineChars="0"/>
              <w:rPr>
                <w:rFonts w:ascii="Times New Roman" w:eastAsia="Times New Roman"/>
              </w:rPr>
            </w:pPr>
          </w:p>
        </w:tc>
      </w:tr>
      <w:tr w14:paraId="59A7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trPr>
        <w:tc>
          <w:tcPr>
            <w:tcW w:w="373" w:type="pct"/>
            <w:vMerge w:val="continue"/>
            <w:vAlign w:val="center"/>
          </w:tcPr>
          <w:p w14:paraId="447E3571">
            <w:pPr>
              <w:pStyle w:val="26"/>
              <w:rPr>
                <w:rFonts w:ascii="Times New Roman" w:eastAsia="Times New Roman"/>
              </w:rPr>
            </w:pPr>
          </w:p>
        </w:tc>
        <w:tc>
          <w:tcPr>
            <w:tcW w:w="280" w:type="pct"/>
            <w:vAlign w:val="center"/>
          </w:tcPr>
          <w:p w14:paraId="7F9EDAF7">
            <w:pPr>
              <w:pStyle w:val="26"/>
              <w:ind w:firstLine="0" w:firstLineChars="0"/>
              <w:jc w:val="center"/>
              <w:rPr>
                <w:rFonts w:hint="eastAsia" w:ascii="Times New Roman" w:eastAsia="宋体"/>
                <w:lang w:eastAsia="zh-CN"/>
              </w:rPr>
            </w:pPr>
            <w:r>
              <w:rPr>
                <w:rFonts w:ascii="Times New Roman" w:eastAsia="Times New Roman"/>
              </w:rPr>
              <w:t>2</w:t>
            </w:r>
            <w:r>
              <w:rPr>
                <w:rFonts w:hint="eastAsia" w:ascii="Times New Roman"/>
                <w:lang w:val="en-US" w:eastAsia="zh-CN"/>
              </w:rPr>
              <w:t>0</w:t>
            </w:r>
          </w:p>
        </w:tc>
        <w:tc>
          <w:tcPr>
            <w:tcW w:w="468" w:type="pct"/>
            <w:vAlign w:val="center"/>
          </w:tcPr>
          <w:p w14:paraId="201E2852">
            <w:pPr>
              <w:pStyle w:val="26"/>
              <w:ind w:firstLine="0" w:firstLineChars="0"/>
              <w:jc w:val="center"/>
              <w:rPr>
                <w:rFonts w:hint="eastAsia" w:ascii="Times New Roman" w:eastAsia="宋体"/>
                <w:lang w:eastAsia="zh-CN"/>
              </w:rPr>
            </w:pPr>
            <w:r>
              <w:rPr>
                <w:rFonts w:ascii="Times New Roman" w:eastAsia="Times New Roman"/>
              </w:rPr>
              <w:t>发布企业社会责任报告（含绿色采购信息）X6</w:t>
            </w:r>
            <w:r>
              <w:rPr>
                <w:rFonts w:hint="eastAsia" w:ascii="Times New Roman"/>
                <w:lang w:val="en-US" w:eastAsia="zh-CN"/>
              </w:rPr>
              <w:t>3</w:t>
            </w:r>
          </w:p>
        </w:tc>
        <w:tc>
          <w:tcPr>
            <w:tcW w:w="327" w:type="pct"/>
            <w:vAlign w:val="center"/>
          </w:tcPr>
          <w:p w14:paraId="52335EE0">
            <w:pPr>
              <w:pStyle w:val="26"/>
              <w:ind w:firstLine="0" w:firstLineChars="0"/>
              <w:jc w:val="center"/>
              <w:rPr>
                <w:rFonts w:hint="eastAsia" w:ascii="Times New Roman" w:eastAsia="宋体"/>
                <w:lang w:eastAsia="zh-CN"/>
              </w:rPr>
            </w:pPr>
            <w:r>
              <w:rPr>
                <w:rFonts w:hint="eastAsia" w:ascii="Times New Roman"/>
                <w:lang w:val="en-US" w:eastAsia="zh-CN"/>
              </w:rPr>
              <w:t>7</w:t>
            </w:r>
          </w:p>
        </w:tc>
        <w:tc>
          <w:tcPr>
            <w:tcW w:w="280" w:type="pct"/>
            <w:vAlign w:val="center"/>
          </w:tcPr>
          <w:p w14:paraId="455AFDF7">
            <w:pPr>
              <w:pStyle w:val="26"/>
              <w:ind w:firstLine="0" w:firstLineChars="0"/>
              <w:jc w:val="center"/>
              <w:rPr>
                <w:rFonts w:ascii="Times New Roman" w:eastAsia="Times New Roman"/>
              </w:rPr>
            </w:pPr>
            <w:r>
              <w:rPr>
                <w:rFonts w:ascii="Times New Roman" w:eastAsia="Times New Roman"/>
              </w:rPr>
              <w:t>定性</w:t>
            </w:r>
          </w:p>
        </w:tc>
        <w:tc>
          <w:tcPr>
            <w:tcW w:w="2250" w:type="pct"/>
            <w:vAlign w:val="center"/>
          </w:tcPr>
          <w:p w14:paraId="374F3B76">
            <w:pPr>
              <w:pStyle w:val="26"/>
              <w:ind w:firstLine="0" w:firstLineChars="0"/>
              <w:rPr>
                <w:rFonts w:ascii="Times New Roman" w:eastAsia="Times New Roman"/>
              </w:rPr>
            </w:pPr>
            <w:r>
              <w:rPr>
                <w:rFonts w:ascii="Times New Roman" w:eastAsia="Times New Roman"/>
              </w:rPr>
              <w:t>白酒企业在官方渠道发布企业社会责任报告或ESG报告，</w:t>
            </w:r>
            <w:r>
              <w:rPr>
                <w:rFonts w:hint="eastAsia" w:ascii="Times New Roman"/>
                <w:lang w:val="en-US" w:eastAsia="zh-CN"/>
              </w:rPr>
              <w:t>7</w:t>
            </w:r>
            <w:r>
              <w:rPr>
                <w:rFonts w:ascii="Times New Roman" w:eastAsia="Times New Roman"/>
              </w:rPr>
              <w:t>分。</w:t>
            </w:r>
          </w:p>
        </w:tc>
        <w:tc>
          <w:tcPr>
            <w:tcW w:w="748" w:type="pct"/>
          </w:tcPr>
          <w:p w14:paraId="3BB27B91">
            <w:pPr>
              <w:pStyle w:val="26"/>
              <w:ind w:firstLine="0" w:firstLineChars="0"/>
              <w:rPr>
                <w:rFonts w:ascii="Times New Roman" w:eastAsia="Times New Roman"/>
              </w:rPr>
            </w:pPr>
          </w:p>
        </w:tc>
        <w:tc>
          <w:tcPr>
            <w:tcW w:w="272" w:type="pct"/>
          </w:tcPr>
          <w:p w14:paraId="48388FAB">
            <w:pPr>
              <w:pStyle w:val="26"/>
              <w:ind w:firstLine="0" w:firstLineChars="0"/>
              <w:rPr>
                <w:rFonts w:ascii="Times New Roman" w:eastAsia="Times New Roman"/>
              </w:rPr>
            </w:pPr>
          </w:p>
        </w:tc>
      </w:tr>
    </w:tbl>
    <w:p w14:paraId="29D08B07">
      <w:pPr>
        <w:pStyle w:val="26"/>
        <w:rPr>
          <w:rFonts w:ascii="Times New Roman"/>
        </w:rPr>
      </w:pPr>
      <w:r>
        <w:rPr>
          <w:rFonts w:hint="eastAsia" w:ascii="Times New Roman"/>
        </w:rPr>
        <w:t>白酒企业绿色供应链管理评价绩效指数的一系列指标构成，包括6项一级指标和2</w:t>
      </w:r>
      <w:r>
        <w:rPr>
          <w:rFonts w:hint="eastAsia" w:ascii="Times New Roman"/>
          <w:lang w:val="en-US" w:eastAsia="zh-CN"/>
        </w:rPr>
        <w:t>0</w:t>
      </w:r>
      <w:r>
        <w:rPr>
          <w:rFonts w:hint="eastAsia" w:ascii="Times New Roman"/>
        </w:rPr>
        <w:t>项二级指标，具体按下表评分标准执行。</w:t>
      </w:r>
    </w:p>
    <w:p w14:paraId="0849F2F3">
      <w:pPr>
        <w:pStyle w:val="26"/>
        <w:rPr>
          <w:rFonts w:hAnsi="宋体" w:cs="宋体"/>
        </w:rPr>
      </w:pPr>
      <w:r>
        <w:rPr>
          <w:rFonts w:ascii="Times New Roman"/>
        </w:rPr>
        <w:t>注释：</w:t>
      </w:r>
      <w:r>
        <w:rPr>
          <w:rFonts w:hint="eastAsia" w:ascii="Times New Roman"/>
          <w:lang w:val="en-US" w:eastAsia="zh-CN"/>
        </w:rPr>
        <w:t>1、</w:t>
      </w:r>
      <w:r>
        <w:rPr>
          <w:rFonts w:ascii="Times New Roman"/>
        </w:rPr>
        <w:t>评价</w:t>
      </w:r>
      <w:r>
        <w:rPr>
          <w:rFonts w:ascii="Times New Roman"/>
          <w:b/>
        </w:rPr>
        <w:t>主要供应商</w:t>
      </w:r>
      <w:r>
        <w:rPr>
          <w:rFonts w:ascii="Times New Roman"/>
        </w:rPr>
        <w:t>的范围：为白酒企业提供粮食、包材和设备的供应商，其中主要供应商为白酒企业供应商供货单品前5名供应商。</w:t>
      </w:r>
      <w:r>
        <w:rPr>
          <w:rFonts w:hint="eastAsia" w:ascii="Times New Roman"/>
          <w:lang w:val="en-US" w:eastAsia="zh-CN"/>
        </w:rPr>
        <w:t>2、</w:t>
      </w:r>
      <w:r>
        <w:rPr>
          <w:rFonts w:hint="eastAsia" w:ascii="Times New Roman"/>
          <w:b/>
        </w:rPr>
        <w:t>关键指标</w:t>
      </w:r>
      <w:r>
        <w:rPr>
          <w:rFonts w:hint="eastAsia" w:ascii="Times New Roman"/>
          <w:b/>
          <w:lang w:val="en-US" w:eastAsia="zh-CN"/>
        </w:rPr>
        <w:t>按附录C要求计算和评价。</w:t>
      </w:r>
    </w:p>
    <w:p w14:paraId="2F6D3A96">
      <w:pPr>
        <w:pStyle w:val="26"/>
        <w:ind w:firstLine="0" w:firstLineChars="0"/>
        <w:jc w:val="center"/>
        <w:rPr>
          <w:rFonts w:hAnsi="宋体" w:cs="宋体"/>
        </w:rPr>
        <w:sectPr>
          <w:pgSz w:w="16838" w:h="11906" w:orient="landscape"/>
          <w:pgMar w:top="1418" w:right="567" w:bottom="1134" w:left="1134" w:header="1418" w:footer="1134" w:gutter="0"/>
          <w:cols w:space="720" w:num="1"/>
          <w:formProt w:val="0"/>
          <w:docGrid w:type="lines" w:linePitch="312" w:charSpace="0"/>
        </w:sectPr>
      </w:pPr>
    </w:p>
    <w:p w14:paraId="6969F40B">
      <w:pPr>
        <w:pStyle w:val="55"/>
        <w:spacing w:before="312" w:after="312"/>
        <w:ind w:left="420"/>
        <w:jc w:val="center"/>
        <w:rPr>
          <w:rFonts w:ascii="Times New Roman"/>
        </w:rPr>
      </w:pPr>
      <w:bookmarkStart w:id="127" w:name="_Toc4705"/>
      <w:r>
        <w:rPr>
          <w:rFonts w:hint="eastAsia" w:ascii="Times New Roman"/>
        </w:rPr>
        <w:t xml:space="preserve">附 </w:t>
      </w:r>
      <w:r>
        <w:rPr>
          <w:rFonts w:ascii="Times New Roman"/>
        </w:rPr>
        <w:t xml:space="preserve"> </w:t>
      </w:r>
      <w:r>
        <w:rPr>
          <w:rFonts w:hint="eastAsia" w:ascii="Times New Roman"/>
        </w:rPr>
        <w:t>录 B</w:t>
      </w:r>
    </w:p>
    <w:p w14:paraId="41AB0E1C">
      <w:pPr>
        <w:pStyle w:val="55"/>
        <w:spacing w:before="312" w:after="312"/>
        <w:ind w:left="420"/>
        <w:jc w:val="center"/>
        <w:rPr>
          <w:rFonts w:ascii="Times New Roman"/>
        </w:rPr>
      </w:pPr>
      <w:r>
        <w:rPr>
          <w:rFonts w:hint="eastAsia" w:ascii="Times New Roman"/>
          <w:b/>
        </w:rPr>
        <w:t>（规范性）</w:t>
      </w:r>
      <w:bookmarkEnd w:id="127"/>
    </w:p>
    <w:p w14:paraId="6CF98410">
      <w:pPr>
        <w:pStyle w:val="26"/>
        <w:ind w:firstLine="422"/>
        <w:jc w:val="center"/>
        <w:rPr>
          <w:rFonts w:ascii="Times New Roman"/>
          <w:b/>
        </w:rPr>
      </w:pPr>
      <w:r>
        <w:rPr>
          <w:rFonts w:hint="eastAsia" w:ascii="Times New Roman"/>
          <w:b/>
        </w:rPr>
        <w:t>评价流程及要求</w:t>
      </w:r>
    </w:p>
    <w:p w14:paraId="53846364">
      <w:pPr>
        <w:pStyle w:val="51"/>
        <w:spacing w:before="156" w:after="156"/>
      </w:pPr>
      <w:bookmarkStart w:id="128" w:name="_Toc171928208"/>
      <w:bookmarkStart w:id="129" w:name="_Toc14263"/>
      <w:bookmarkStart w:id="130" w:name="_Toc171929310"/>
      <w:r>
        <w:t>B.1</w:t>
      </w:r>
      <w:r>
        <w:rPr>
          <w:rFonts w:hint="eastAsia"/>
        </w:rPr>
        <w:t xml:space="preserve"> 评价基本流程</w:t>
      </w:r>
      <w:bookmarkEnd w:id="128"/>
      <w:bookmarkEnd w:id="129"/>
      <w:bookmarkEnd w:id="130"/>
    </w:p>
    <w:p w14:paraId="071CE881">
      <w:pPr>
        <w:pStyle w:val="26"/>
        <w:rPr>
          <w:rFonts w:ascii="Times New Roman"/>
        </w:rPr>
      </w:pPr>
      <w:r>
        <w:rPr>
          <w:rFonts w:ascii="Times New Roman"/>
        </w:rPr>
        <w:t>第三方评价基本流程包括申请评价、评价前准备、评价、技术评审及出具报告等阶段，详见图B.1。</w:t>
      </w:r>
    </w:p>
    <w:p w14:paraId="34D56F79">
      <w:pPr>
        <w:pStyle w:val="26"/>
        <w:rPr>
          <w:rFonts w:ascii="Times New Roman"/>
        </w:rPr>
      </w:pPr>
    </w:p>
    <w:p w14:paraId="52E510FD">
      <w:pPr>
        <w:pStyle w:val="26"/>
        <w:ind w:firstLine="422"/>
        <w:jc w:val="center"/>
        <w:rPr>
          <w:rFonts w:ascii="Times New Roman"/>
          <w:b/>
        </w:rPr>
      </w:pPr>
      <w:r>
        <w:rPr>
          <w:rFonts w:ascii="Times New Roman"/>
          <w:b/>
        </w:rPr>
        <w:drawing>
          <wp:inline distT="0" distB="0" distL="0" distR="0">
            <wp:extent cx="2656205" cy="51130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654549" cy="5109643"/>
                    </a:xfrm>
                    <a:prstGeom prst="rect">
                      <a:avLst/>
                    </a:prstGeom>
                    <a:noFill/>
                  </pic:spPr>
                </pic:pic>
              </a:graphicData>
            </a:graphic>
          </wp:inline>
        </w:drawing>
      </w:r>
    </w:p>
    <w:p w14:paraId="78E09A59">
      <w:pPr>
        <w:pStyle w:val="26"/>
        <w:ind w:firstLine="0" w:firstLineChars="0"/>
        <w:jc w:val="center"/>
        <w:rPr>
          <w:rFonts w:ascii="Times New Roman"/>
        </w:rPr>
      </w:pPr>
      <w:r>
        <w:rPr>
          <w:rFonts w:hint="eastAsia" w:ascii="Times New Roman"/>
        </w:rPr>
        <w:t>图B.1 白酒企业绿色供应链管理评价流程图</w:t>
      </w:r>
    </w:p>
    <w:p w14:paraId="30BC919C">
      <w:pPr>
        <w:pStyle w:val="51"/>
        <w:spacing w:before="156" w:after="156"/>
      </w:pPr>
      <w:bookmarkStart w:id="131" w:name="_Toc27574"/>
      <w:bookmarkStart w:id="132" w:name="_Toc171929311"/>
      <w:bookmarkStart w:id="133" w:name="_Toc171928209"/>
      <w:r>
        <w:t>B.2</w:t>
      </w:r>
      <w:r>
        <w:rPr>
          <w:rFonts w:hint="eastAsia"/>
        </w:rPr>
        <w:t xml:space="preserve"> 实施评价</w:t>
      </w:r>
      <w:bookmarkEnd w:id="131"/>
      <w:bookmarkEnd w:id="132"/>
      <w:bookmarkEnd w:id="133"/>
    </w:p>
    <w:p w14:paraId="2C62C6E9">
      <w:pPr>
        <w:pStyle w:val="3"/>
        <w:spacing w:before="0" w:after="0" w:line="240" w:lineRule="auto"/>
        <w:rPr>
          <w:b w:val="0"/>
          <w:sz w:val="21"/>
          <w:szCs w:val="21"/>
        </w:rPr>
      </w:pPr>
      <w:bookmarkStart w:id="134" w:name="_Toc171928210"/>
      <w:bookmarkStart w:id="135" w:name="_Toc171929312"/>
      <w:bookmarkStart w:id="136" w:name="_Toc19553"/>
      <w:r>
        <w:rPr>
          <w:b w:val="0"/>
          <w:sz w:val="21"/>
          <w:szCs w:val="21"/>
        </w:rPr>
        <w:t>B.2.1</w:t>
      </w:r>
      <w:r>
        <w:rPr>
          <w:rFonts w:hint="eastAsia"/>
          <w:b w:val="0"/>
          <w:sz w:val="21"/>
          <w:szCs w:val="21"/>
        </w:rPr>
        <w:t xml:space="preserve"> </w:t>
      </w:r>
      <w:r>
        <w:rPr>
          <w:b w:val="0"/>
          <w:sz w:val="21"/>
          <w:szCs w:val="21"/>
        </w:rPr>
        <w:t>评价机构受理绿色供应链管理评价申请时，应对白酒制造企业申请基本要求的符合性和评价活动的可行性进行评审，通过国家企业信用信息公示系统、地方环保、安监网站等渠道对申请企业的合规性与信用</w:t>
      </w:r>
      <w:r>
        <w:rPr>
          <w:rFonts w:hint="eastAsia"/>
          <w:b w:val="0"/>
          <w:sz w:val="21"/>
          <w:szCs w:val="21"/>
        </w:rPr>
        <w:t>情况进行调查，审核企业基本要求的符合性，在企业满足基本要求（详见表1）基础上进行评价工作。</w:t>
      </w:r>
      <w:bookmarkEnd w:id="134"/>
      <w:bookmarkEnd w:id="135"/>
      <w:bookmarkEnd w:id="136"/>
    </w:p>
    <w:p w14:paraId="5B3D1CA8">
      <w:pPr>
        <w:pStyle w:val="3"/>
        <w:spacing w:before="0" w:after="0" w:line="240" w:lineRule="auto"/>
        <w:rPr>
          <w:b w:val="0"/>
          <w:sz w:val="21"/>
          <w:szCs w:val="21"/>
        </w:rPr>
      </w:pPr>
      <w:bookmarkStart w:id="137" w:name="_Toc171929313"/>
      <w:bookmarkStart w:id="138" w:name="_Toc14934"/>
      <w:bookmarkStart w:id="139" w:name="_Toc171928211"/>
      <w:r>
        <w:rPr>
          <w:b w:val="0"/>
          <w:sz w:val="21"/>
          <w:szCs w:val="21"/>
        </w:rPr>
        <w:t>B.2.2</w:t>
      </w:r>
      <w:r>
        <w:rPr>
          <w:rFonts w:hint="eastAsia"/>
          <w:b w:val="0"/>
          <w:sz w:val="21"/>
          <w:szCs w:val="21"/>
        </w:rPr>
        <w:t xml:space="preserve"> 评价组由组长及数名组员构成，评价机构应确保评价组具备覆盖绿色供应链管理评价需要的各种知识和能力，包括绿色制造、环保、低碳、节能、安全、质量、循环经济、可再生能源等。</w:t>
      </w:r>
      <w:bookmarkEnd w:id="137"/>
      <w:bookmarkEnd w:id="138"/>
      <w:bookmarkEnd w:id="139"/>
    </w:p>
    <w:p w14:paraId="2031742C">
      <w:pPr>
        <w:pStyle w:val="3"/>
        <w:spacing w:before="0" w:after="0" w:line="240" w:lineRule="auto"/>
        <w:rPr>
          <w:b w:val="0"/>
          <w:sz w:val="21"/>
          <w:szCs w:val="21"/>
        </w:rPr>
      </w:pPr>
      <w:bookmarkStart w:id="140" w:name="_Toc171929314"/>
      <w:bookmarkStart w:id="141" w:name="_Toc171928212"/>
      <w:bookmarkStart w:id="142" w:name="_Toc28359"/>
      <w:r>
        <w:rPr>
          <w:b w:val="0"/>
          <w:sz w:val="21"/>
          <w:szCs w:val="21"/>
        </w:rPr>
        <w:t>B.2.3</w:t>
      </w:r>
      <w:r>
        <w:rPr>
          <w:rFonts w:hint="eastAsia"/>
          <w:b w:val="0"/>
          <w:sz w:val="21"/>
          <w:szCs w:val="21"/>
        </w:rPr>
        <w:t>评价机构受理评价申请后，应通过对企业提交的全部资料进行文件评审，识别出后续现场评价的重点。</w:t>
      </w:r>
      <w:bookmarkEnd w:id="140"/>
      <w:bookmarkEnd w:id="141"/>
      <w:bookmarkEnd w:id="142"/>
    </w:p>
    <w:p w14:paraId="4AD9E02F">
      <w:pPr>
        <w:pStyle w:val="3"/>
        <w:spacing w:before="0" w:after="0" w:line="240" w:lineRule="auto"/>
        <w:rPr>
          <w:b w:val="0"/>
          <w:sz w:val="21"/>
          <w:szCs w:val="21"/>
        </w:rPr>
      </w:pPr>
      <w:bookmarkStart w:id="143" w:name="_Toc171928213"/>
      <w:bookmarkStart w:id="144" w:name="_Toc171929315"/>
      <w:bookmarkStart w:id="145" w:name="_Toc3065"/>
      <w:r>
        <w:rPr>
          <w:rFonts w:hint="eastAsia"/>
          <w:b w:val="0"/>
          <w:sz w:val="21"/>
          <w:szCs w:val="21"/>
        </w:rPr>
        <w:t>B.2.4 评价机构应根据文件评审结果、白酒制造企业的规模大小、厂区数量和分场所位置、相关数据量的大小、计划的抽样数量等因素，策划现场评价方案和企业准备材料清单。</w:t>
      </w:r>
      <w:bookmarkEnd w:id="143"/>
      <w:bookmarkEnd w:id="144"/>
      <w:bookmarkEnd w:id="145"/>
    </w:p>
    <w:p w14:paraId="6774ADE4">
      <w:pPr>
        <w:pStyle w:val="3"/>
        <w:spacing w:before="0" w:after="0" w:line="240" w:lineRule="auto"/>
        <w:rPr>
          <w:b w:val="0"/>
          <w:sz w:val="21"/>
          <w:szCs w:val="21"/>
        </w:rPr>
      </w:pPr>
      <w:bookmarkStart w:id="146" w:name="_Toc171928214"/>
      <w:bookmarkStart w:id="147" w:name="_Toc171929316"/>
      <w:bookmarkStart w:id="148" w:name="_Toc9349"/>
      <w:r>
        <w:rPr>
          <w:b w:val="0"/>
          <w:sz w:val="21"/>
          <w:szCs w:val="21"/>
        </w:rPr>
        <w:t xml:space="preserve">B.2.5 </w:t>
      </w:r>
      <w:r>
        <w:rPr>
          <w:rFonts w:hint="eastAsia"/>
          <w:b w:val="0"/>
          <w:sz w:val="21"/>
          <w:szCs w:val="21"/>
        </w:rPr>
        <w:t>通过走访白酒生产现场及相关人员、查阅文件和记录、访谈相关主管部门负责人（必要时）、汇总数据等方式对企业实际的绿色供应链管理水平进行评价，并提出改进建议。评价组在现场获取的信息必须确保真实有效，能够满足评价要求。</w:t>
      </w:r>
      <w:bookmarkEnd w:id="146"/>
      <w:bookmarkEnd w:id="147"/>
      <w:bookmarkEnd w:id="148"/>
    </w:p>
    <w:p w14:paraId="32FC6B9E">
      <w:pPr>
        <w:pStyle w:val="51"/>
        <w:spacing w:before="156" w:after="156"/>
      </w:pPr>
      <w:bookmarkStart w:id="149" w:name="_Toc27494"/>
      <w:bookmarkStart w:id="150" w:name="_Toc171928215"/>
      <w:bookmarkStart w:id="151" w:name="_Toc171929317"/>
      <w:r>
        <w:rPr>
          <w:rFonts w:hint="eastAsia"/>
        </w:rPr>
        <w:t>B.3 编写评价报告</w:t>
      </w:r>
      <w:bookmarkEnd w:id="149"/>
      <w:bookmarkEnd w:id="150"/>
      <w:bookmarkEnd w:id="151"/>
    </w:p>
    <w:p w14:paraId="18B07534">
      <w:pPr>
        <w:pStyle w:val="26"/>
        <w:rPr>
          <w:rFonts w:ascii="Times New Roman"/>
        </w:rPr>
      </w:pPr>
      <w:r>
        <w:rPr>
          <w:rFonts w:hint="eastAsia" w:ascii="Times New Roman"/>
        </w:rPr>
        <w:t>完成现场评价工作后，评价组长应负责按时完成评价报告的编制工作，评价报告内容及要求见第7章。</w:t>
      </w:r>
    </w:p>
    <w:p w14:paraId="6551052E">
      <w:pPr>
        <w:pStyle w:val="51"/>
        <w:spacing w:before="156" w:after="156"/>
      </w:pPr>
      <w:bookmarkStart w:id="152" w:name="_Toc171928216"/>
      <w:bookmarkStart w:id="153" w:name="_Toc612"/>
      <w:bookmarkStart w:id="154" w:name="_Toc171929318"/>
      <w:r>
        <w:t xml:space="preserve">B.4 </w:t>
      </w:r>
      <w:r>
        <w:rPr>
          <w:rFonts w:hint="eastAsia"/>
        </w:rPr>
        <w:t>技术评审</w:t>
      </w:r>
      <w:bookmarkEnd w:id="152"/>
      <w:bookmarkEnd w:id="153"/>
      <w:bookmarkEnd w:id="154"/>
    </w:p>
    <w:p w14:paraId="4B65458C">
      <w:pPr>
        <w:pStyle w:val="3"/>
        <w:spacing w:before="0" w:after="0" w:line="240" w:lineRule="auto"/>
        <w:rPr>
          <w:b w:val="0"/>
          <w:sz w:val="21"/>
          <w:szCs w:val="21"/>
        </w:rPr>
      </w:pPr>
      <w:bookmarkStart w:id="155" w:name="_Toc171929319"/>
      <w:bookmarkStart w:id="156" w:name="_Toc25339"/>
      <w:bookmarkStart w:id="157" w:name="_Toc171928217"/>
      <w:r>
        <w:rPr>
          <w:b w:val="0"/>
          <w:sz w:val="21"/>
          <w:szCs w:val="21"/>
        </w:rPr>
        <w:t>B.4.1</w:t>
      </w:r>
      <w:r>
        <w:rPr>
          <w:rFonts w:hint="eastAsia"/>
          <w:b w:val="0"/>
          <w:sz w:val="21"/>
          <w:szCs w:val="21"/>
        </w:rPr>
        <w:t>评价机构应建立技术评审制度对评价活动进行内部质量管控，应安排至少1名具备能力的非评价组成员对评价报告进行技术评审。技术评审可采取文件审核的形式，对评价组的所有工作文件以及企业提供的证据资料进行评审，必要时可访问评价组成员和被评价企业。</w:t>
      </w:r>
      <w:bookmarkEnd w:id="155"/>
      <w:bookmarkEnd w:id="156"/>
      <w:bookmarkEnd w:id="157"/>
    </w:p>
    <w:p w14:paraId="117E5205">
      <w:pPr>
        <w:pStyle w:val="3"/>
        <w:spacing w:before="0" w:after="0" w:line="240" w:lineRule="auto"/>
        <w:rPr>
          <w:b w:val="0"/>
          <w:sz w:val="21"/>
          <w:szCs w:val="21"/>
        </w:rPr>
      </w:pPr>
      <w:bookmarkStart w:id="158" w:name="_Toc171929320"/>
      <w:bookmarkStart w:id="159" w:name="_Toc171928218"/>
      <w:bookmarkStart w:id="160" w:name="_Toc22322"/>
      <w:r>
        <w:rPr>
          <w:b w:val="0"/>
          <w:sz w:val="21"/>
          <w:szCs w:val="21"/>
        </w:rPr>
        <w:t>B.4.2</w:t>
      </w:r>
      <w:r>
        <w:rPr>
          <w:rFonts w:hint="eastAsia"/>
          <w:b w:val="0"/>
          <w:sz w:val="21"/>
          <w:szCs w:val="21"/>
        </w:rPr>
        <w:t>技术评审发现评价证据不能支撑评价结果的情况，应开出澄清项给评价组进行整改，如果有影响评价结果的问题评价组不能解决，技术评审人员应根据问题的性质调整评价分数，必要时可改变评审结论。</w:t>
      </w:r>
      <w:bookmarkEnd w:id="158"/>
      <w:bookmarkEnd w:id="159"/>
      <w:bookmarkEnd w:id="160"/>
    </w:p>
    <w:p w14:paraId="472C409A">
      <w:pPr>
        <w:pStyle w:val="26"/>
        <w:ind w:firstLine="422"/>
        <w:jc w:val="center"/>
        <w:rPr>
          <w:rFonts w:ascii="Times New Roman"/>
          <w:b/>
        </w:rPr>
        <w:sectPr>
          <w:pgSz w:w="11906" w:h="16838"/>
          <w:pgMar w:top="567" w:right="1134" w:bottom="1134" w:left="1418" w:header="1418" w:footer="1134" w:gutter="0"/>
          <w:cols w:space="720" w:num="1"/>
          <w:formProt w:val="0"/>
          <w:docGrid w:type="lines" w:linePitch="312" w:charSpace="0"/>
        </w:sectPr>
      </w:pPr>
    </w:p>
    <w:p w14:paraId="6A5F7237">
      <w:pPr>
        <w:pStyle w:val="55"/>
        <w:spacing w:before="312" w:after="312"/>
        <w:ind w:left="420"/>
        <w:jc w:val="center"/>
        <w:rPr>
          <w:rFonts w:ascii="Times New Roman"/>
        </w:rPr>
      </w:pPr>
      <w:bookmarkStart w:id="161" w:name="_Toc25742"/>
      <w:r>
        <w:rPr>
          <w:rFonts w:hint="eastAsia" w:ascii="Times New Roman"/>
        </w:rPr>
        <w:t xml:space="preserve">附 </w:t>
      </w:r>
      <w:r>
        <w:rPr>
          <w:rFonts w:ascii="Times New Roman"/>
        </w:rPr>
        <w:t xml:space="preserve"> </w:t>
      </w:r>
      <w:r>
        <w:rPr>
          <w:rFonts w:hint="eastAsia" w:ascii="Times New Roman"/>
        </w:rPr>
        <w:t>录 C</w:t>
      </w:r>
    </w:p>
    <w:p w14:paraId="43CBFE9D">
      <w:pPr>
        <w:pStyle w:val="55"/>
        <w:spacing w:before="312" w:after="312"/>
        <w:ind w:left="420"/>
        <w:jc w:val="center"/>
        <w:rPr>
          <w:rFonts w:ascii="Times New Roman"/>
        </w:rPr>
      </w:pPr>
      <w:r>
        <w:rPr>
          <w:rFonts w:hint="eastAsia" w:ascii="Times New Roman"/>
        </w:rPr>
        <w:t>（规范性）</w:t>
      </w:r>
      <w:bookmarkEnd w:id="161"/>
    </w:p>
    <w:p w14:paraId="261B8D17">
      <w:pPr>
        <w:pStyle w:val="26"/>
        <w:ind w:firstLine="422"/>
        <w:jc w:val="center"/>
        <w:rPr>
          <w:rFonts w:ascii="Times New Roman"/>
          <w:b/>
        </w:rPr>
      </w:pPr>
      <w:r>
        <w:rPr>
          <w:rFonts w:hint="eastAsia" w:ascii="Times New Roman"/>
          <w:b/>
        </w:rPr>
        <w:t>关键指标说明</w:t>
      </w:r>
    </w:p>
    <w:p w14:paraId="72F57F71">
      <w:pPr>
        <w:pStyle w:val="51"/>
        <w:tabs>
          <w:tab w:val="left" w:pos="360"/>
        </w:tabs>
        <w:spacing w:before="156" w:after="156"/>
        <w:jc w:val="both"/>
        <w:rPr>
          <w:rFonts w:ascii="Times New Roman"/>
        </w:rPr>
      </w:pPr>
      <w:bookmarkStart w:id="162" w:name="_Toc171928220"/>
      <w:bookmarkStart w:id="163" w:name="_Toc171929322"/>
      <w:bookmarkStart w:id="164" w:name="_Toc15014"/>
      <w:r>
        <w:rPr>
          <w:rFonts w:hint="eastAsia" w:ascii="Times New Roman"/>
        </w:rPr>
        <w:t>C</w:t>
      </w:r>
      <w:r>
        <w:rPr>
          <w:rFonts w:ascii="Times New Roman"/>
        </w:rPr>
        <w:t>.1</w:t>
      </w:r>
      <w:r>
        <w:rPr>
          <w:rFonts w:hint="eastAsia" w:ascii="Times New Roman"/>
        </w:rPr>
        <w:t>指标说明</w:t>
      </w:r>
      <w:bookmarkEnd w:id="162"/>
      <w:bookmarkEnd w:id="163"/>
      <w:bookmarkEnd w:id="164"/>
    </w:p>
    <w:p w14:paraId="04C01FA8">
      <w:pPr>
        <w:pStyle w:val="26"/>
        <w:rPr>
          <w:rFonts w:ascii="Times New Roman"/>
        </w:rPr>
      </w:pPr>
      <w:r>
        <w:rPr>
          <w:rFonts w:ascii="Times New Roman"/>
        </w:rPr>
        <w:t>1、纳入公司发展规划：有明确的绿色供应链管理中长期发展规划、年度目标、指标、实施方案等文件。</w:t>
      </w:r>
    </w:p>
    <w:p w14:paraId="06A0ABA4">
      <w:pPr>
        <w:pStyle w:val="26"/>
        <w:rPr>
          <w:rFonts w:ascii="Times New Roman"/>
        </w:rPr>
      </w:pPr>
      <w:r>
        <w:rPr>
          <w:rFonts w:ascii="Times New Roman"/>
        </w:rPr>
        <w:t>2、供应商绩效评估制度：建立供应商绩效评估标准，对供应商进行分级评价和管理。</w:t>
      </w:r>
    </w:p>
    <w:p w14:paraId="451BF2BA">
      <w:pPr>
        <w:pStyle w:val="26"/>
        <w:rPr>
          <w:rFonts w:ascii="Times New Roman"/>
        </w:rPr>
      </w:pPr>
      <w:r>
        <w:rPr>
          <w:rFonts w:ascii="Times New Roman"/>
        </w:rPr>
        <w:t>3、节能减排环保合规：符合国家和地方有关环境法律和法规，近五年无重大安全、环保、质量事故；配备能源、水源监测设备及污染物监测设备（计量仪器符合GB17167和GB</w:t>
      </w:r>
      <w:r>
        <w:rPr>
          <w:rFonts w:hint="eastAsia" w:ascii="Times New Roman"/>
        </w:rPr>
        <w:t xml:space="preserve">/T </w:t>
      </w:r>
      <w:r>
        <w:rPr>
          <w:rFonts w:ascii="Times New Roman"/>
        </w:rPr>
        <w:t>24789）。</w:t>
      </w:r>
    </w:p>
    <w:p w14:paraId="075E8427">
      <w:pPr>
        <w:pStyle w:val="26"/>
        <w:rPr>
          <w:rFonts w:ascii="Times New Roman"/>
        </w:rPr>
      </w:pPr>
      <w:r>
        <w:rPr>
          <w:rFonts w:ascii="Times New Roman"/>
        </w:rPr>
        <w:t>4、指导下游企业回收拆解：具备回收拆解信息管理系统，实现拆解信息的传递及产品的追溯。</w:t>
      </w:r>
    </w:p>
    <w:p w14:paraId="775DA8F7">
      <w:pPr>
        <w:pStyle w:val="26"/>
        <w:rPr>
          <w:rFonts w:ascii="Times New Roman"/>
        </w:rPr>
      </w:pPr>
      <w:r>
        <w:rPr>
          <w:rFonts w:ascii="Times New Roman"/>
        </w:rPr>
        <w:t>5、绿色供应链管理信息平台完善：对企业及其供应商产品材质、工艺流程、能源资源消耗、污染物排放等信息进行有效收集与管理。</w:t>
      </w:r>
    </w:p>
    <w:p w14:paraId="54C44973">
      <w:pPr>
        <w:pStyle w:val="26"/>
        <w:rPr>
          <w:rFonts w:ascii="Times New Roman"/>
        </w:rPr>
      </w:pPr>
      <w:r>
        <w:rPr>
          <w:rFonts w:ascii="Times New Roman"/>
        </w:rPr>
        <w:t>6、披露企业节能减排减碳信息：具体包括有毒有害物质使用、能源资源利用效率、污染物排放、碳排放减少量、产品回收利用率等信息。</w:t>
      </w:r>
    </w:p>
    <w:p w14:paraId="7CE97B67">
      <w:pPr>
        <w:pStyle w:val="51"/>
        <w:tabs>
          <w:tab w:val="left" w:pos="360"/>
        </w:tabs>
        <w:spacing w:before="156" w:after="156"/>
        <w:jc w:val="both"/>
        <w:rPr>
          <w:rFonts w:ascii="Times New Roman"/>
        </w:rPr>
      </w:pPr>
      <w:bookmarkStart w:id="165" w:name="_Toc18761"/>
      <w:r>
        <w:rPr>
          <w:rFonts w:hint="eastAsia" w:ascii="Times New Roman"/>
        </w:rPr>
        <w:t>C.2 关键指标计算和基准值选取</w:t>
      </w:r>
      <w:bookmarkEnd w:id="165"/>
    </w:p>
    <w:p w14:paraId="6ECBB181">
      <w:pPr>
        <w:pStyle w:val="26"/>
        <w:rPr>
          <w:rFonts w:ascii="Times New Roman"/>
        </w:rPr>
      </w:pPr>
      <w:r>
        <w:rPr>
          <w:rFonts w:ascii="Times New Roman"/>
        </w:rPr>
        <w:t>1、低风险供应商占比的基准值取80%</w:t>
      </w:r>
      <w:r>
        <w:rPr>
          <w:rFonts w:hint="eastAsia" w:ascii="Times New Roman"/>
        </w:rPr>
        <w:t>，</w:t>
      </w:r>
      <w:r>
        <w:rPr>
          <w:rFonts w:ascii="Times New Roman"/>
        </w:rPr>
        <w:t>达到或超过80%得</w:t>
      </w:r>
      <w:r>
        <w:rPr>
          <w:rFonts w:hint="eastAsia" w:ascii="Times New Roman"/>
          <w:lang w:val="en-US" w:eastAsia="zh-CN"/>
        </w:rPr>
        <w:t>5</w:t>
      </w:r>
      <w:r>
        <w:rPr>
          <w:rFonts w:ascii="Times New Roman"/>
        </w:rPr>
        <w:t>分，其他分值的计算：比例值/80%</w:t>
      </w:r>
      <w:r>
        <w:rPr>
          <w:rFonts w:hint="eastAsia" w:hAnsi="宋体"/>
        </w:rPr>
        <w:t>×</w:t>
      </w:r>
      <w:r>
        <w:rPr>
          <w:rFonts w:hint="eastAsia" w:ascii="Times New Roman"/>
          <w:lang w:val="en-US" w:eastAsia="zh-CN"/>
        </w:rPr>
        <w:t>5</w:t>
      </w:r>
      <w:r>
        <w:rPr>
          <w:rFonts w:ascii="Times New Roman"/>
        </w:rPr>
        <w:t>。</w:t>
      </w:r>
    </w:p>
    <w:p w14:paraId="3A0B3160">
      <w:pPr>
        <w:pStyle w:val="26"/>
        <w:rPr>
          <w:rFonts w:ascii="Times New Roman"/>
        </w:rPr>
      </w:pPr>
      <w:r>
        <w:rPr>
          <w:rFonts w:hint="eastAsia" w:ascii="Times New Roman"/>
        </w:rPr>
        <w:t>2、计算包装回收率X42的基准值为80%，达到或超过80%得4分，其他分值的计算：比例值/80%</w:t>
      </w:r>
      <w:r>
        <w:rPr>
          <w:rFonts w:hint="eastAsia" w:hAnsi="宋体"/>
        </w:rPr>
        <w:t>×</w:t>
      </w:r>
      <w:r>
        <w:rPr>
          <w:rFonts w:hint="eastAsia" w:ascii="Times New Roman"/>
        </w:rPr>
        <w:t>4。选取白酒企业三种主导产品计算包装回收率，最终结果按三种产品平均值选取。</w:t>
      </w:r>
    </w:p>
    <w:sectPr>
      <w:pgSz w:w="11906" w:h="16838"/>
      <w:pgMar w:top="567" w:right="1134" w:bottom="1134" w:left="1418" w:header="1418" w:footer="1134" w:gutter="0"/>
      <w:cols w:space="720"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6053806"/>
    </w:sdtPr>
    <w:sdtContent>
      <w:p w14:paraId="7952C296">
        <w:pPr>
          <w:pStyle w:val="20"/>
          <w:jc w:val="center"/>
        </w:pPr>
        <w:r>
          <w:fldChar w:fldCharType="begin"/>
        </w:r>
        <w:r>
          <w:instrText xml:space="preserve">PAGE   \* MERGEFORMAT</w:instrText>
        </w:r>
        <w:r>
          <w:fldChar w:fldCharType="separate"/>
        </w:r>
        <w:r>
          <w:rPr>
            <w:lang w:val="zh-CN"/>
          </w:rPr>
          <w:t>6</w:t>
        </w:r>
        <w:r>
          <w:fldChar w:fldCharType="end"/>
        </w:r>
      </w:p>
    </w:sdtContent>
  </w:sdt>
  <w:p w14:paraId="1346F8B1">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0B46B">
    <w:pPr>
      <w:pStyle w:val="54"/>
    </w:pPr>
    <w:r>
      <w:t xml:space="preserve">T/CBJ </w:t>
    </w:r>
    <w:r>
      <w:rPr>
        <w:rFonts w:hint="eastAsia"/>
      </w:rPr>
      <w:t>XXXX</w:t>
    </w:r>
    <w:r>
      <w:t>—202X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69"/>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27"/>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63"/>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32"/>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0EB5682F"/>
    <w:multiLevelType w:val="multilevel"/>
    <w:tmpl w:val="0EB5682F"/>
    <w:lvl w:ilvl="0" w:tentative="0">
      <w:start w:val="1"/>
      <w:numFmt w:val="decimal"/>
      <w:lvlText w:val="%1 "/>
      <w:lvlJc w:val="left"/>
      <w:pPr>
        <w:tabs>
          <w:tab w:val="left" w:pos="0"/>
        </w:tabs>
        <w:ind w:left="420" w:hanging="420"/>
      </w:pPr>
      <w:rPr>
        <w:rFonts w:hint="eastAsia" w:ascii="黑体" w:hAnsi="黑体" w:eastAsia="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DBF583A"/>
    <w:multiLevelType w:val="multilevel"/>
    <w:tmpl w:val="1DBF583A"/>
    <w:lvl w:ilvl="0" w:tentative="0">
      <w:start w:val="1"/>
      <w:numFmt w:val="decimal"/>
      <w:pStyle w:val="76"/>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6">
    <w:nsid w:val="1FC91163"/>
    <w:multiLevelType w:val="multilevel"/>
    <w:tmpl w:val="1FC91163"/>
    <w:lvl w:ilvl="0" w:tentative="0">
      <w:start w:val="1"/>
      <w:numFmt w:val="decimal"/>
      <w:lvlText w:val="C. %1."/>
      <w:lvlJc w:val="left"/>
      <w:pPr>
        <w:ind w:left="3119" w:firstLine="0"/>
      </w:pPr>
      <w:rPr>
        <w:rFonts w:hint="eastAsia"/>
        <w:b w:val="0"/>
        <w:i w:val="0"/>
        <w:sz w:val="21"/>
        <w:szCs w:val="21"/>
      </w:rPr>
    </w:lvl>
    <w:lvl w:ilvl="1" w:tentative="0">
      <w:start w:val="1"/>
      <w:numFmt w:val="decimal"/>
      <w:lvlText w:val="6.%2"/>
      <w:lvlJc w:val="left"/>
      <w:pPr>
        <w:ind w:left="0" w:firstLine="0"/>
      </w:pPr>
      <w:rPr>
        <w:rFonts w:hint="default" w:hAnsi="宋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56"/>
      <w:suff w:val="nothing"/>
      <w:lvlText w:val="%1.%2.%3　"/>
      <w:lvlJc w:val="left"/>
      <w:pPr>
        <w:ind w:left="0" w:firstLine="0"/>
      </w:pPr>
      <w:rPr>
        <w:rFonts w:hint="eastAsia" w:ascii="黑体" w:hAnsi="Times New Roman" w:eastAsia="黑体"/>
        <w:b w:val="0"/>
        <w:i w:val="0"/>
        <w:sz w:val="21"/>
      </w:rPr>
    </w:lvl>
    <w:lvl w:ilvl="3" w:tentative="0">
      <w:start w:val="1"/>
      <w:numFmt w:val="decimal"/>
      <w:pStyle w:val="62"/>
      <w:suff w:val="nothing"/>
      <w:lvlText w:val="%1.%2.%3.%4　"/>
      <w:lvlJc w:val="left"/>
      <w:pPr>
        <w:ind w:left="0" w:firstLine="0"/>
      </w:pPr>
      <w:rPr>
        <w:rFonts w:hint="eastAsia" w:ascii="黑体" w:hAnsi="Times New Roman" w:eastAsia="黑体"/>
        <w:b w:val="0"/>
        <w:i w:val="0"/>
        <w:sz w:val="21"/>
      </w:rPr>
    </w:lvl>
    <w:lvl w:ilvl="4" w:tentative="0">
      <w:start w:val="1"/>
      <w:numFmt w:val="decimal"/>
      <w:pStyle w:val="66"/>
      <w:suff w:val="nothing"/>
      <w:lvlText w:val="%1.%2.%3.%4.%5　"/>
      <w:lvlJc w:val="left"/>
      <w:pPr>
        <w:ind w:left="0" w:firstLine="0"/>
      </w:pPr>
      <w:rPr>
        <w:rFonts w:hint="eastAsia" w:ascii="黑体" w:hAnsi="Times New Roman" w:eastAsia="黑体"/>
        <w:b w:val="0"/>
        <w:i w:val="0"/>
        <w:sz w:val="21"/>
      </w:rPr>
    </w:lvl>
    <w:lvl w:ilvl="5" w:tentative="0">
      <w:start w:val="1"/>
      <w:numFmt w:val="decimal"/>
      <w:pStyle w:val="67"/>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2A8F7113"/>
    <w:multiLevelType w:val="multilevel"/>
    <w:tmpl w:val="2A8F7113"/>
    <w:lvl w:ilvl="0" w:tentative="0">
      <w:start w:val="1"/>
      <w:numFmt w:val="upperLetter"/>
      <w:pStyle w:val="109"/>
      <w:suff w:val="space"/>
      <w:lvlText w:val="%1"/>
      <w:lvlJc w:val="left"/>
      <w:pPr>
        <w:ind w:left="623" w:hanging="425"/>
      </w:pPr>
      <w:rPr>
        <w:rFonts w:hint="eastAsia"/>
      </w:rPr>
    </w:lvl>
    <w:lvl w:ilvl="1" w:tentative="0">
      <w:start w:val="1"/>
      <w:numFmt w:val="decimal"/>
      <w:pStyle w:val="11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2C5917C3"/>
    <w:multiLevelType w:val="multilevel"/>
    <w:tmpl w:val="2C5917C3"/>
    <w:lvl w:ilvl="0" w:tentative="0">
      <w:start w:val="1"/>
      <w:numFmt w:val="none"/>
      <w:pStyle w:val="59"/>
      <w:suff w:val="nothing"/>
      <w:lvlText w:val="%1——"/>
      <w:lvlJc w:val="left"/>
      <w:pPr>
        <w:ind w:left="833" w:hanging="408"/>
      </w:pPr>
      <w:rPr>
        <w:rFonts w:hint="eastAsia"/>
      </w:rPr>
    </w:lvl>
    <w:lvl w:ilvl="1" w:tentative="0">
      <w:start w:val="1"/>
      <w:numFmt w:val="bullet"/>
      <w:pStyle w:val="60"/>
      <w:lvlText w:val=""/>
      <w:lvlJc w:val="left"/>
      <w:pPr>
        <w:tabs>
          <w:tab w:val="left" w:pos="760"/>
        </w:tabs>
        <w:ind w:left="1264" w:hanging="413"/>
      </w:pPr>
      <w:rPr>
        <w:rFonts w:hint="default" w:ascii="Symbol" w:hAnsi="Symbol"/>
        <w:color w:val="auto"/>
      </w:rPr>
    </w:lvl>
    <w:lvl w:ilvl="2" w:tentative="0">
      <w:start w:val="1"/>
      <w:numFmt w:val="bullet"/>
      <w:pStyle w:val="7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9">
    <w:nsid w:val="3D733618"/>
    <w:multiLevelType w:val="multilevel"/>
    <w:tmpl w:val="3D733618"/>
    <w:lvl w:ilvl="0" w:tentative="0">
      <w:start w:val="1"/>
      <w:numFmt w:val="decimal"/>
      <w:pStyle w:val="27"/>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0">
    <w:nsid w:val="44C50F90"/>
    <w:multiLevelType w:val="multilevel"/>
    <w:tmpl w:val="44C50F90"/>
    <w:lvl w:ilvl="0" w:tentative="0">
      <w:start w:val="1"/>
      <w:numFmt w:val="lowerLetter"/>
      <w:pStyle w:val="70"/>
      <w:lvlText w:val="%1)"/>
      <w:lvlJc w:val="left"/>
      <w:pPr>
        <w:tabs>
          <w:tab w:val="left" w:pos="840"/>
        </w:tabs>
        <w:ind w:left="839" w:hanging="419"/>
      </w:pPr>
      <w:rPr>
        <w:rFonts w:hint="eastAsia" w:ascii="宋体" w:eastAsia="宋体"/>
        <w:b w:val="0"/>
        <w:i w:val="0"/>
        <w:sz w:val="21"/>
        <w:szCs w:val="21"/>
      </w:rPr>
    </w:lvl>
    <w:lvl w:ilvl="1" w:tentative="0">
      <w:start w:val="1"/>
      <w:numFmt w:val="decimal"/>
      <w:pStyle w:val="65"/>
      <w:lvlText w:val="%2)"/>
      <w:lvlJc w:val="left"/>
      <w:pPr>
        <w:tabs>
          <w:tab w:val="left" w:pos="1260"/>
        </w:tabs>
        <w:ind w:left="1259" w:hanging="419"/>
      </w:pPr>
      <w:rPr>
        <w:rFonts w:hint="eastAsia"/>
      </w:rPr>
    </w:lvl>
    <w:lvl w:ilvl="2" w:tentative="0">
      <w:start w:val="1"/>
      <w:numFmt w:val="decimal"/>
      <w:pStyle w:val="7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4B733A5F"/>
    <w:multiLevelType w:val="multilevel"/>
    <w:tmpl w:val="4B733A5F"/>
    <w:lvl w:ilvl="0" w:tentative="0">
      <w:start w:val="1"/>
      <w:numFmt w:val="decimal"/>
      <w:pStyle w:val="73"/>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2">
    <w:nsid w:val="557C2AF5"/>
    <w:multiLevelType w:val="multilevel"/>
    <w:tmpl w:val="557C2AF5"/>
    <w:lvl w:ilvl="0" w:tentative="0">
      <w:start w:val="1"/>
      <w:numFmt w:val="decimal"/>
      <w:pStyle w:val="139"/>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0B55DC2"/>
    <w:multiLevelType w:val="multilevel"/>
    <w:tmpl w:val="60B55DC2"/>
    <w:lvl w:ilvl="0" w:tentative="0">
      <w:start w:val="1"/>
      <w:numFmt w:val="upperLetter"/>
      <w:pStyle w:val="97"/>
      <w:lvlText w:val="%1"/>
      <w:lvlJc w:val="left"/>
      <w:pPr>
        <w:tabs>
          <w:tab w:val="left" w:pos="0"/>
        </w:tabs>
        <w:ind w:left="0" w:hanging="425"/>
      </w:pPr>
      <w:rPr>
        <w:rFonts w:hint="eastAsia"/>
      </w:rPr>
    </w:lvl>
    <w:lvl w:ilvl="1" w:tentative="0">
      <w:start w:val="1"/>
      <w:numFmt w:val="decimal"/>
      <w:pStyle w:val="98"/>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4">
    <w:nsid w:val="646260FA"/>
    <w:multiLevelType w:val="multilevel"/>
    <w:tmpl w:val="646260FA"/>
    <w:lvl w:ilvl="0" w:tentative="0">
      <w:start w:val="1"/>
      <w:numFmt w:val="decimal"/>
      <w:pStyle w:val="137"/>
      <w:suff w:val="nothing"/>
      <w:lvlText w:val="表%1　"/>
      <w:lvlJc w:val="left"/>
      <w:pPr>
        <w:ind w:left="4537" w:firstLine="0"/>
      </w:pPr>
      <w:rPr>
        <w:rFonts w:hint="eastAsia" w:ascii="黑体" w:hAnsi="Times New Roman" w:eastAsia="黑体"/>
        <w:b w:val="0"/>
        <w:i w:val="0"/>
        <w:sz w:val="21"/>
      </w:rPr>
    </w:lvl>
    <w:lvl w:ilvl="1" w:tentative="0">
      <w:start w:val="1"/>
      <w:numFmt w:val="decimal"/>
      <w:lvlText w:val="%1.%2"/>
      <w:lvlJc w:val="left"/>
      <w:pPr>
        <w:tabs>
          <w:tab w:val="left" w:pos="1984"/>
        </w:tabs>
        <w:ind w:left="1984" w:hanging="567"/>
      </w:pPr>
      <w:rPr>
        <w:rFonts w:hint="eastAsia"/>
      </w:rPr>
    </w:lvl>
    <w:lvl w:ilvl="2" w:tentative="0">
      <w:start w:val="1"/>
      <w:numFmt w:val="decimal"/>
      <w:lvlText w:val="%1.%2.%3"/>
      <w:lvlJc w:val="left"/>
      <w:pPr>
        <w:tabs>
          <w:tab w:val="left" w:pos="2410"/>
        </w:tabs>
        <w:ind w:left="2410" w:hanging="567"/>
      </w:pPr>
      <w:rPr>
        <w:rFonts w:hint="eastAsia"/>
      </w:rPr>
    </w:lvl>
    <w:lvl w:ilvl="3" w:tentative="0">
      <w:start w:val="1"/>
      <w:numFmt w:val="decimal"/>
      <w:lvlText w:val="%1.%2.%3.%4"/>
      <w:lvlJc w:val="left"/>
      <w:pPr>
        <w:tabs>
          <w:tab w:val="left" w:pos="2976"/>
        </w:tabs>
        <w:ind w:left="2976" w:hanging="708"/>
      </w:pPr>
      <w:rPr>
        <w:rFonts w:hint="eastAsia"/>
      </w:rPr>
    </w:lvl>
    <w:lvl w:ilvl="4" w:tentative="0">
      <w:start w:val="1"/>
      <w:numFmt w:val="decimal"/>
      <w:lvlText w:val="%1.%2.%3.%4.%5"/>
      <w:lvlJc w:val="left"/>
      <w:pPr>
        <w:tabs>
          <w:tab w:val="left" w:pos="3543"/>
        </w:tabs>
        <w:ind w:left="3543" w:hanging="850"/>
      </w:pPr>
      <w:rPr>
        <w:rFonts w:hint="eastAsia"/>
      </w:rPr>
    </w:lvl>
    <w:lvl w:ilvl="5" w:tentative="0">
      <w:start w:val="1"/>
      <w:numFmt w:val="decimal"/>
      <w:lvlText w:val="%1.%2.%3.%4.%5.%6"/>
      <w:lvlJc w:val="left"/>
      <w:pPr>
        <w:tabs>
          <w:tab w:val="left" w:pos="4252"/>
        </w:tabs>
        <w:ind w:left="4252" w:hanging="1134"/>
      </w:pPr>
      <w:rPr>
        <w:rFonts w:hint="eastAsia"/>
      </w:rPr>
    </w:lvl>
    <w:lvl w:ilvl="6" w:tentative="0">
      <w:start w:val="1"/>
      <w:numFmt w:val="decimal"/>
      <w:lvlText w:val="%1.%2.%3.%4.%5.%6.%7"/>
      <w:lvlJc w:val="left"/>
      <w:pPr>
        <w:tabs>
          <w:tab w:val="left" w:pos="4819"/>
        </w:tabs>
        <w:ind w:left="4819" w:hanging="1276"/>
      </w:pPr>
      <w:rPr>
        <w:rFonts w:hint="eastAsia"/>
      </w:rPr>
    </w:lvl>
    <w:lvl w:ilvl="7" w:tentative="0">
      <w:start w:val="1"/>
      <w:numFmt w:val="decimal"/>
      <w:lvlText w:val="%1.%2.%3.%4.%5.%6.%7.%8"/>
      <w:lvlJc w:val="left"/>
      <w:pPr>
        <w:tabs>
          <w:tab w:val="left" w:pos="5386"/>
        </w:tabs>
        <w:ind w:left="5386" w:hanging="1418"/>
      </w:pPr>
      <w:rPr>
        <w:rFonts w:hint="eastAsia"/>
      </w:rPr>
    </w:lvl>
    <w:lvl w:ilvl="8" w:tentative="0">
      <w:start w:val="1"/>
      <w:numFmt w:val="decimal"/>
      <w:lvlText w:val="%1.%2.%3.%4.%5.%6.%7.%8.%9"/>
      <w:lvlJc w:val="left"/>
      <w:pPr>
        <w:tabs>
          <w:tab w:val="left" w:pos="6094"/>
        </w:tabs>
        <w:ind w:left="6094" w:hanging="1700"/>
      </w:pPr>
      <w:rPr>
        <w:rFonts w:hint="eastAsia"/>
      </w:rPr>
    </w:lvl>
  </w:abstractNum>
  <w:abstractNum w:abstractNumId="15">
    <w:nsid w:val="657D3FBC"/>
    <w:multiLevelType w:val="multilevel"/>
    <w:tmpl w:val="657D3FBC"/>
    <w:lvl w:ilvl="0" w:tentative="0">
      <w:start w:val="1"/>
      <w:numFmt w:val="upperLetter"/>
      <w:pStyle w:val="95"/>
      <w:suff w:val="nothing"/>
      <w:lvlText w:val="附　录　%1"/>
      <w:lvlJc w:val="left"/>
      <w:pPr>
        <w:ind w:left="0" w:firstLine="0"/>
      </w:pPr>
      <w:rPr>
        <w:rFonts w:hint="eastAsia" w:ascii="黑体" w:hAnsi="Times New Roman" w:eastAsia="黑体"/>
        <w:b w:val="0"/>
        <w:i w:val="0"/>
        <w:spacing w:val="0"/>
        <w:w w:val="100"/>
        <w:sz w:val="21"/>
        <w:lang w:val="en-US"/>
      </w:rPr>
    </w:lvl>
    <w:lvl w:ilvl="1" w:tentative="0">
      <w:start w:val="1"/>
      <w:numFmt w:val="decimal"/>
      <w:pStyle w:val="11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4"/>
      <w:suff w:val="nothing"/>
      <w:lvlText w:val="%1.%2.%3　"/>
      <w:lvlJc w:val="left"/>
      <w:pPr>
        <w:ind w:left="284" w:firstLine="0"/>
      </w:pPr>
      <w:rPr>
        <w:rFonts w:hint="eastAsia" w:ascii="黑体" w:hAnsi="Times New Roman" w:eastAsia="黑体"/>
        <w:b w:val="0"/>
        <w:i w:val="0"/>
        <w:sz w:val="21"/>
      </w:rPr>
    </w:lvl>
    <w:lvl w:ilvl="3" w:tentative="0">
      <w:start w:val="1"/>
      <w:numFmt w:val="decimal"/>
      <w:pStyle w:val="99"/>
      <w:suff w:val="nothing"/>
      <w:lvlText w:val="%1.%2.%3.%4　"/>
      <w:lvlJc w:val="left"/>
      <w:pPr>
        <w:ind w:left="1418" w:firstLine="0"/>
      </w:pPr>
      <w:rPr>
        <w:rFonts w:hint="eastAsia" w:ascii="黑体" w:hAnsi="Times New Roman" w:eastAsia="黑体"/>
        <w:b w:val="0"/>
        <w:i w:val="0"/>
        <w:sz w:val="21"/>
      </w:rPr>
    </w:lvl>
    <w:lvl w:ilvl="4" w:tentative="0">
      <w:start w:val="1"/>
      <w:numFmt w:val="decimal"/>
      <w:pStyle w:val="104"/>
      <w:suff w:val="nothing"/>
      <w:lvlText w:val="%1.%2.%3.%4.%5　"/>
      <w:lvlJc w:val="left"/>
      <w:pPr>
        <w:ind w:left="0" w:firstLine="0"/>
      </w:pPr>
      <w:rPr>
        <w:rFonts w:hint="eastAsia" w:ascii="黑体" w:hAnsi="Times New Roman" w:eastAsia="黑体"/>
        <w:b w:val="0"/>
        <w:i w:val="0"/>
        <w:sz w:val="21"/>
      </w:rPr>
    </w:lvl>
    <w:lvl w:ilvl="5" w:tentative="0">
      <w:start w:val="1"/>
      <w:numFmt w:val="decimal"/>
      <w:pStyle w:val="107"/>
      <w:suff w:val="nothing"/>
      <w:lvlText w:val="%1.%2.%3.%4.%5.%6　"/>
      <w:lvlJc w:val="left"/>
      <w:pPr>
        <w:ind w:left="0" w:firstLine="0"/>
      </w:pPr>
      <w:rPr>
        <w:rFonts w:hint="eastAsia" w:ascii="黑体" w:hAnsi="Times New Roman" w:eastAsia="黑体"/>
        <w:b w:val="0"/>
        <w:i w:val="0"/>
        <w:sz w:val="21"/>
      </w:rPr>
    </w:lvl>
    <w:lvl w:ilvl="6" w:tentative="0">
      <w:start w:val="1"/>
      <w:numFmt w:val="decimal"/>
      <w:pStyle w:val="11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D6C07CD"/>
    <w:multiLevelType w:val="multilevel"/>
    <w:tmpl w:val="6D6C07CD"/>
    <w:lvl w:ilvl="0" w:tentative="0">
      <w:start w:val="1"/>
      <w:numFmt w:val="lowerLetter"/>
      <w:pStyle w:val="116"/>
      <w:lvlText w:val="%1)"/>
      <w:lvlJc w:val="left"/>
      <w:pPr>
        <w:tabs>
          <w:tab w:val="left" w:pos="839"/>
        </w:tabs>
        <w:ind w:left="839" w:hanging="419"/>
      </w:pPr>
      <w:rPr>
        <w:rFonts w:hint="eastAsia" w:ascii="宋体" w:eastAsia="宋体"/>
        <w:b w:val="0"/>
        <w:i w:val="0"/>
        <w:sz w:val="21"/>
      </w:rPr>
    </w:lvl>
    <w:lvl w:ilvl="1" w:tentative="0">
      <w:start w:val="1"/>
      <w:numFmt w:val="decimal"/>
      <w:pStyle w:val="106"/>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7">
    <w:nsid w:val="6DBF04F4"/>
    <w:multiLevelType w:val="multilevel"/>
    <w:tmpl w:val="6DBF04F4"/>
    <w:lvl w:ilvl="0" w:tentative="0">
      <w:start w:val="1"/>
      <w:numFmt w:val="none"/>
      <w:pStyle w:val="68"/>
      <w:suff w:val="nothing"/>
      <w:lvlText w:val="%1注："/>
      <w:lvlJc w:val="left"/>
      <w:pPr>
        <w:ind w:left="3199"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9"/>
  </w:num>
  <w:num w:numId="2">
    <w:abstractNumId w:val="6"/>
  </w:num>
  <w:num w:numId="3">
    <w:abstractNumId w:val="8"/>
  </w:num>
  <w:num w:numId="4">
    <w:abstractNumId w:val="2"/>
  </w:num>
  <w:num w:numId="5">
    <w:abstractNumId w:val="10"/>
  </w:num>
  <w:num w:numId="6">
    <w:abstractNumId w:val="17"/>
  </w:num>
  <w:num w:numId="7">
    <w:abstractNumId w:val="0"/>
  </w:num>
  <w:num w:numId="8">
    <w:abstractNumId w:val="11"/>
  </w:num>
  <w:num w:numId="9">
    <w:abstractNumId w:val="5"/>
  </w:num>
  <w:num w:numId="10">
    <w:abstractNumId w:val="15"/>
  </w:num>
  <w:num w:numId="11">
    <w:abstractNumId w:val="13"/>
  </w:num>
  <w:num w:numId="12">
    <w:abstractNumId w:val="16"/>
  </w:num>
  <w:num w:numId="13">
    <w:abstractNumId w:val="7"/>
  </w:num>
  <w:num w:numId="14">
    <w:abstractNumId w:val="1"/>
  </w:num>
  <w:num w:numId="15">
    <w:abstractNumId w:val="3"/>
  </w:num>
  <w:num w:numId="16">
    <w:abstractNumId w:val="14"/>
  </w:num>
  <w:num w:numId="17">
    <w:abstractNumId w:val="1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removePersonalInformation/>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1YjM1MWJhOWU2YWExNDE5YTNkNzNiODQwYWNjN2UifQ=="/>
    <w:docVar w:name="KSO_WPS_MARK_KEY" w:val="7a9cf01e-7605-4c34-8c60-9f6b483af522"/>
  </w:docVars>
  <w:rsids>
    <w:rsidRoot w:val="00F4515B"/>
    <w:rsid w:val="00000244"/>
    <w:rsid w:val="00001301"/>
    <w:rsid w:val="0000185F"/>
    <w:rsid w:val="000022EB"/>
    <w:rsid w:val="0000388A"/>
    <w:rsid w:val="00003B54"/>
    <w:rsid w:val="000046FB"/>
    <w:rsid w:val="00004A14"/>
    <w:rsid w:val="00005607"/>
    <w:rsid w:val="0000586F"/>
    <w:rsid w:val="000065D0"/>
    <w:rsid w:val="00007144"/>
    <w:rsid w:val="00010F88"/>
    <w:rsid w:val="0001299A"/>
    <w:rsid w:val="00013C29"/>
    <w:rsid w:val="00013D86"/>
    <w:rsid w:val="00013E02"/>
    <w:rsid w:val="00013F5F"/>
    <w:rsid w:val="00013F95"/>
    <w:rsid w:val="00014BEE"/>
    <w:rsid w:val="000157A8"/>
    <w:rsid w:val="0002143C"/>
    <w:rsid w:val="000223FA"/>
    <w:rsid w:val="00022C23"/>
    <w:rsid w:val="00025A65"/>
    <w:rsid w:val="0002661D"/>
    <w:rsid w:val="00026C31"/>
    <w:rsid w:val="00027280"/>
    <w:rsid w:val="00030919"/>
    <w:rsid w:val="00030E3B"/>
    <w:rsid w:val="00031454"/>
    <w:rsid w:val="00031859"/>
    <w:rsid w:val="000320A7"/>
    <w:rsid w:val="00033861"/>
    <w:rsid w:val="00034126"/>
    <w:rsid w:val="00035925"/>
    <w:rsid w:val="00037DB6"/>
    <w:rsid w:val="00043A6A"/>
    <w:rsid w:val="000449D1"/>
    <w:rsid w:val="000457D0"/>
    <w:rsid w:val="00045B89"/>
    <w:rsid w:val="00046CA2"/>
    <w:rsid w:val="00047F7A"/>
    <w:rsid w:val="0005069D"/>
    <w:rsid w:val="0005102D"/>
    <w:rsid w:val="000516C3"/>
    <w:rsid w:val="00051DB6"/>
    <w:rsid w:val="00052FE3"/>
    <w:rsid w:val="00053759"/>
    <w:rsid w:val="00053928"/>
    <w:rsid w:val="00054A3C"/>
    <w:rsid w:val="000578BC"/>
    <w:rsid w:val="00057DC1"/>
    <w:rsid w:val="0006356F"/>
    <w:rsid w:val="00063735"/>
    <w:rsid w:val="0006378C"/>
    <w:rsid w:val="00063E89"/>
    <w:rsid w:val="00064AE1"/>
    <w:rsid w:val="00064AE7"/>
    <w:rsid w:val="00065ED7"/>
    <w:rsid w:val="000662CC"/>
    <w:rsid w:val="000667BC"/>
    <w:rsid w:val="00066BA6"/>
    <w:rsid w:val="00067AFB"/>
    <w:rsid w:val="00067CDF"/>
    <w:rsid w:val="000738F6"/>
    <w:rsid w:val="00074868"/>
    <w:rsid w:val="00074A07"/>
    <w:rsid w:val="00074FBE"/>
    <w:rsid w:val="00076878"/>
    <w:rsid w:val="00076A1C"/>
    <w:rsid w:val="00077134"/>
    <w:rsid w:val="000804A6"/>
    <w:rsid w:val="000812E8"/>
    <w:rsid w:val="00083298"/>
    <w:rsid w:val="000839B6"/>
    <w:rsid w:val="00083A09"/>
    <w:rsid w:val="00083EA8"/>
    <w:rsid w:val="0008450F"/>
    <w:rsid w:val="00085EE1"/>
    <w:rsid w:val="0009005E"/>
    <w:rsid w:val="00090221"/>
    <w:rsid w:val="00092857"/>
    <w:rsid w:val="00092C55"/>
    <w:rsid w:val="00093DF3"/>
    <w:rsid w:val="000945F2"/>
    <w:rsid w:val="0009645E"/>
    <w:rsid w:val="00097A4C"/>
    <w:rsid w:val="000A20A9"/>
    <w:rsid w:val="000A3F11"/>
    <w:rsid w:val="000A48B1"/>
    <w:rsid w:val="000A530D"/>
    <w:rsid w:val="000A6BEA"/>
    <w:rsid w:val="000A6D4D"/>
    <w:rsid w:val="000A747A"/>
    <w:rsid w:val="000B1F7C"/>
    <w:rsid w:val="000B2B65"/>
    <w:rsid w:val="000B3143"/>
    <w:rsid w:val="000B322D"/>
    <w:rsid w:val="000B398E"/>
    <w:rsid w:val="000B3D47"/>
    <w:rsid w:val="000B6F3B"/>
    <w:rsid w:val="000C0D28"/>
    <w:rsid w:val="000C19F3"/>
    <w:rsid w:val="000C25E0"/>
    <w:rsid w:val="000C2C86"/>
    <w:rsid w:val="000C64E8"/>
    <w:rsid w:val="000C6B05"/>
    <w:rsid w:val="000C6DD6"/>
    <w:rsid w:val="000C73D4"/>
    <w:rsid w:val="000C7A17"/>
    <w:rsid w:val="000D1377"/>
    <w:rsid w:val="000D14E2"/>
    <w:rsid w:val="000D3D4C"/>
    <w:rsid w:val="000D3D53"/>
    <w:rsid w:val="000D45CE"/>
    <w:rsid w:val="000D4F51"/>
    <w:rsid w:val="000D718B"/>
    <w:rsid w:val="000E0C46"/>
    <w:rsid w:val="000E12B7"/>
    <w:rsid w:val="000E3BFB"/>
    <w:rsid w:val="000E3D84"/>
    <w:rsid w:val="000E6DD0"/>
    <w:rsid w:val="000F030C"/>
    <w:rsid w:val="000F129C"/>
    <w:rsid w:val="000F50B0"/>
    <w:rsid w:val="000F6B41"/>
    <w:rsid w:val="000F7903"/>
    <w:rsid w:val="001056DE"/>
    <w:rsid w:val="001124C0"/>
    <w:rsid w:val="00113871"/>
    <w:rsid w:val="001138B8"/>
    <w:rsid w:val="00113954"/>
    <w:rsid w:val="00114D4D"/>
    <w:rsid w:val="00115147"/>
    <w:rsid w:val="00121B77"/>
    <w:rsid w:val="001223C2"/>
    <w:rsid w:val="00123AD9"/>
    <w:rsid w:val="00130DD9"/>
    <w:rsid w:val="0013175F"/>
    <w:rsid w:val="00132ADA"/>
    <w:rsid w:val="0013498E"/>
    <w:rsid w:val="00137B4A"/>
    <w:rsid w:val="00137C42"/>
    <w:rsid w:val="0014228C"/>
    <w:rsid w:val="001449F1"/>
    <w:rsid w:val="001504CF"/>
    <w:rsid w:val="001506EB"/>
    <w:rsid w:val="001512B4"/>
    <w:rsid w:val="00153276"/>
    <w:rsid w:val="00153C59"/>
    <w:rsid w:val="00154E4F"/>
    <w:rsid w:val="00161DCE"/>
    <w:rsid w:val="001620A5"/>
    <w:rsid w:val="00163ED0"/>
    <w:rsid w:val="00164353"/>
    <w:rsid w:val="00164626"/>
    <w:rsid w:val="0016481A"/>
    <w:rsid w:val="00164E53"/>
    <w:rsid w:val="0016699D"/>
    <w:rsid w:val="00167245"/>
    <w:rsid w:val="00167B78"/>
    <w:rsid w:val="001737BD"/>
    <w:rsid w:val="001748B5"/>
    <w:rsid w:val="00174A66"/>
    <w:rsid w:val="00175159"/>
    <w:rsid w:val="001759D8"/>
    <w:rsid w:val="00175B2F"/>
    <w:rsid w:val="00176208"/>
    <w:rsid w:val="00177C57"/>
    <w:rsid w:val="0018093F"/>
    <w:rsid w:val="00180C4A"/>
    <w:rsid w:val="0018211B"/>
    <w:rsid w:val="00183CEF"/>
    <w:rsid w:val="001840D3"/>
    <w:rsid w:val="001847D7"/>
    <w:rsid w:val="001900F8"/>
    <w:rsid w:val="00191258"/>
    <w:rsid w:val="00192680"/>
    <w:rsid w:val="00192F73"/>
    <w:rsid w:val="00193037"/>
    <w:rsid w:val="00193A2C"/>
    <w:rsid w:val="0019472B"/>
    <w:rsid w:val="001A0B44"/>
    <w:rsid w:val="001A110B"/>
    <w:rsid w:val="001A1F79"/>
    <w:rsid w:val="001A288E"/>
    <w:rsid w:val="001A2ED7"/>
    <w:rsid w:val="001A38D2"/>
    <w:rsid w:val="001A44EE"/>
    <w:rsid w:val="001A4792"/>
    <w:rsid w:val="001A6487"/>
    <w:rsid w:val="001A71AB"/>
    <w:rsid w:val="001B30C5"/>
    <w:rsid w:val="001B3C3B"/>
    <w:rsid w:val="001B3CF8"/>
    <w:rsid w:val="001B4883"/>
    <w:rsid w:val="001B5335"/>
    <w:rsid w:val="001B6DC2"/>
    <w:rsid w:val="001C149C"/>
    <w:rsid w:val="001C21AC"/>
    <w:rsid w:val="001C37D9"/>
    <w:rsid w:val="001C47BA"/>
    <w:rsid w:val="001C5657"/>
    <w:rsid w:val="001C59EA"/>
    <w:rsid w:val="001C64FA"/>
    <w:rsid w:val="001D06C1"/>
    <w:rsid w:val="001D2C5E"/>
    <w:rsid w:val="001D3B31"/>
    <w:rsid w:val="001D406C"/>
    <w:rsid w:val="001D41EE"/>
    <w:rsid w:val="001D4452"/>
    <w:rsid w:val="001D51C1"/>
    <w:rsid w:val="001E0380"/>
    <w:rsid w:val="001E0E44"/>
    <w:rsid w:val="001E0F55"/>
    <w:rsid w:val="001E13B1"/>
    <w:rsid w:val="001E145A"/>
    <w:rsid w:val="001E526B"/>
    <w:rsid w:val="001F02F6"/>
    <w:rsid w:val="001F27B7"/>
    <w:rsid w:val="001F307A"/>
    <w:rsid w:val="001F3A19"/>
    <w:rsid w:val="001F500D"/>
    <w:rsid w:val="001F72C5"/>
    <w:rsid w:val="00202AEF"/>
    <w:rsid w:val="00203AAD"/>
    <w:rsid w:val="00203DEA"/>
    <w:rsid w:val="00205D56"/>
    <w:rsid w:val="00206B80"/>
    <w:rsid w:val="0020726F"/>
    <w:rsid w:val="00207307"/>
    <w:rsid w:val="0021269E"/>
    <w:rsid w:val="0021484A"/>
    <w:rsid w:val="00214F86"/>
    <w:rsid w:val="00217DE0"/>
    <w:rsid w:val="00220BA1"/>
    <w:rsid w:val="002237A8"/>
    <w:rsid w:val="00224A3D"/>
    <w:rsid w:val="00227B5E"/>
    <w:rsid w:val="002321B0"/>
    <w:rsid w:val="00233473"/>
    <w:rsid w:val="00234467"/>
    <w:rsid w:val="0023529B"/>
    <w:rsid w:val="002356E2"/>
    <w:rsid w:val="00237D8D"/>
    <w:rsid w:val="002400E2"/>
    <w:rsid w:val="00241DA2"/>
    <w:rsid w:val="00244689"/>
    <w:rsid w:val="00247FEE"/>
    <w:rsid w:val="002500C8"/>
    <w:rsid w:val="0025086B"/>
    <w:rsid w:val="00250E7D"/>
    <w:rsid w:val="00251D9D"/>
    <w:rsid w:val="00254171"/>
    <w:rsid w:val="00254246"/>
    <w:rsid w:val="00254F69"/>
    <w:rsid w:val="002565D5"/>
    <w:rsid w:val="00256B07"/>
    <w:rsid w:val="002612B0"/>
    <w:rsid w:val="00261903"/>
    <w:rsid w:val="002622C0"/>
    <w:rsid w:val="0026501D"/>
    <w:rsid w:val="002655B3"/>
    <w:rsid w:val="002659D2"/>
    <w:rsid w:val="00265C3C"/>
    <w:rsid w:val="00266182"/>
    <w:rsid w:val="0026676D"/>
    <w:rsid w:val="00266D48"/>
    <w:rsid w:val="00267371"/>
    <w:rsid w:val="002718F5"/>
    <w:rsid w:val="00271A82"/>
    <w:rsid w:val="002737E2"/>
    <w:rsid w:val="00273CC8"/>
    <w:rsid w:val="002744F9"/>
    <w:rsid w:val="00274B89"/>
    <w:rsid w:val="002757AC"/>
    <w:rsid w:val="00275C73"/>
    <w:rsid w:val="0027625D"/>
    <w:rsid w:val="002778AE"/>
    <w:rsid w:val="0028269A"/>
    <w:rsid w:val="002830FC"/>
    <w:rsid w:val="00283590"/>
    <w:rsid w:val="002849FF"/>
    <w:rsid w:val="00286973"/>
    <w:rsid w:val="002876F3"/>
    <w:rsid w:val="00293FA0"/>
    <w:rsid w:val="002948A3"/>
    <w:rsid w:val="00294DA3"/>
    <w:rsid w:val="00294E70"/>
    <w:rsid w:val="00296A24"/>
    <w:rsid w:val="00296FEC"/>
    <w:rsid w:val="0029718F"/>
    <w:rsid w:val="002A0863"/>
    <w:rsid w:val="002A1924"/>
    <w:rsid w:val="002A20A4"/>
    <w:rsid w:val="002A334C"/>
    <w:rsid w:val="002A457F"/>
    <w:rsid w:val="002A4D94"/>
    <w:rsid w:val="002A5A9B"/>
    <w:rsid w:val="002A7420"/>
    <w:rsid w:val="002B0F12"/>
    <w:rsid w:val="002B1308"/>
    <w:rsid w:val="002B33A9"/>
    <w:rsid w:val="002B3872"/>
    <w:rsid w:val="002B4554"/>
    <w:rsid w:val="002B5017"/>
    <w:rsid w:val="002B609D"/>
    <w:rsid w:val="002B7D09"/>
    <w:rsid w:val="002C01F2"/>
    <w:rsid w:val="002C5E19"/>
    <w:rsid w:val="002C601F"/>
    <w:rsid w:val="002C7139"/>
    <w:rsid w:val="002C729A"/>
    <w:rsid w:val="002C72D8"/>
    <w:rsid w:val="002D0A20"/>
    <w:rsid w:val="002D11FA"/>
    <w:rsid w:val="002D122E"/>
    <w:rsid w:val="002D1778"/>
    <w:rsid w:val="002D17D4"/>
    <w:rsid w:val="002D1C46"/>
    <w:rsid w:val="002D3AAB"/>
    <w:rsid w:val="002D6D69"/>
    <w:rsid w:val="002D7300"/>
    <w:rsid w:val="002E0B61"/>
    <w:rsid w:val="002E0DDF"/>
    <w:rsid w:val="002E2906"/>
    <w:rsid w:val="002E3083"/>
    <w:rsid w:val="002E42DE"/>
    <w:rsid w:val="002E5635"/>
    <w:rsid w:val="002E597B"/>
    <w:rsid w:val="002E5FF9"/>
    <w:rsid w:val="002E6169"/>
    <w:rsid w:val="002E64C3"/>
    <w:rsid w:val="002E6A2C"/>
    <w:rsid w:val="002F0AFC"/>
    <w:rsid w:val="002F1512"/>
    <w:rsid w:val="002F1D8C"/>
    <w:rsid w:val="002F21DA"/>
    <w:rsid w:val="002F367C"/>
    <w:rsid w:val="002F6D68"/>
    <w:rsid w:val="002F7D05"/>
    <w:rsid w:val="00301F39"/>
    <w:rsid w:val="0030274E"/>
    <w:rsid w:val="00304279"/>
    <w:rsid w:val="00304592"/>
    <w:rsid w:val="003057F6"/>
    <w:rsid w:val="00305EBC"/>
    <w:rsid w:val="0030770F"/>
    <w:rsid w:val="003102CD"/>
    <w:rsid w:val="00310B6F"/>
    <w:rsid w:val="00310C7E"/>
    <w:rsid w:val="00311191"/>
    <w:rsid w:val="0031196E"/>
    <w:rsid w:val="00313565"/>
    <w:rsid w:val="003143F4"/>
    <w:rsid w:val="0031459E"/>
    <w:rsid w:val="0032064F"/>
    <w:rsid w:val="00320C51"/>
    <w:rsid w:val="00320F36"/>
    <w:rsid w:val="003228F8"/>
    <w:rsid w:val="00325110"/>
    <w:rsid w:val="00325926"/>
    <w:rsid w:val="00325F3C"/>
    <w:rsid w:val="003262C0"/>
    <w:rsid w:val="00327A8A"/>
    <w:rsid w:val="00332AC7"/>
    <w:rsid w:val="00334112"/>
    <w:rsid w:val="003348D1"/>
    <w:rsid w:val="00335180"/>
    <w:rsid w:val="00335703"/>
    <w:rsid w:val="00336243"/>
    <w:rsid w:val="00336610"/>
    <w:rsid w:val="0033705F"/>
    <w:rsid w:val="00340B37"/>
    <w:rsid w:val="00340F45"/>
    <w:rsid w:val="00341123"/>
    <w:rsid w:val="0034169F"/>
    <w:rsid w:val="00343F73"/>
    <w:rsid w:val="00344006"/>
    <w:rsid w:val="00345060"/>
    <w:rsid w:val="00346503"/>
    <w:rsid w:val="00346B65"/>
    <w:rsid w:val="00346C17"/>
    <w:rsid w:val="00347050"/>
    <w:rsid w:val="003511C5"/>
    <w:rsid w:val="0035323B"/>
    <w:rsid w:val="003534D1"/>
    <w:rsid w:val="00354476"/>
    <w:rsid w:val="00355C10"/>
    <w:rsid w:val="00357B6D"/>
    <w:rsid w:val="003609D2"/>
    <w:rsid w:val="003630FC"/>
    <w:rsid w:val="00363F22"/>
    <w:rsid w:val="003650F7"/>
    <w:rsid w:val="0036582F"/>
    <w:rsid w:val="0037050B"/>
    <w:rsid w:val="0037481E"/>
    <w:rsid w:val="00375564"/>
    <w:rsid w:val="0038061B"/>
    <w:rsid w:val="0038217C"/>
    <w:rsid w:val="00382394"/>
    <w:rsid w:val="00383191"/>
    <w:rsid w:val="0038366A"/>
    <w:rsid w:val="00383AE1"/>
    <w:rsid w:val="00385E7D"/>
    <w:rsid w:val="00386DED"/>
    <w:rsid w:val="00390B6B"/>
    <w:rsid w:val="003912E7"/>
    <w:rsid w:val="00391E26"/>
    <w:rsid w:val="00391F67"/>
    <w:rsid w:val="00392DE0"/>
    <w:rsid w:val="00393947"/>
    <w:rsid w:val="0039592E"/>
    <w:rsid w:val="00397D0A"/>
    <w:rsid w:val="003A0DA0"/>
    <w:rsid w:val="003A2275"/>
    <w:rsid w:val="003A2333"/>
    <w:rsid w:val="003A669E"/>
    <w:rsid w:val="003A6A4F"/>
    <w:rsid w:val="003A7088"/>
    <w:rsid w:val="003B00DF"/>
    <w:rsid w:val="003B1275"/>
    <w:rsid w:val="003B1778"/>
    <w:rsid w:val="003B21BE"/>
    <w:rsid w:val="003B2A13"/>
    <w:rsid w:val="003B3742"/>
    <w:rsid w:val="003B67C0"/>
    <w:rsid w:val="003B689E"/>
    <w:rsid w:val="003C11CB"/>
    <w:rsid w:val="003C2A04"/>
    <w:rsid w:val="003C5FB5"/>
    <w:rsid w:val="003C69F4"/>
    <w:rsid w:val="003C73ED"/>
    <w:rsid w:val="003C75F3"/>
    <w:rsid w:val="003C78A3"/>
    <w:rsid w:val="003D0FA7"/>
    <w:rsid w:val="003E1867"/>
    <w:rsid w:val="003E5575"/>
    <w:rsid w:val="003E5729"/>
    <w:rsid w:val="003E724E"/>
    <w:rsid w:val="003E793E"/>
    <w:rsid w:val="003E7FC4"/>
    <w:rsid w:val="003F04B2"/>
    <w:rsid w:val="003F1587"/>
    <w:rsid w:val="003F4EE0"/>
    <w:rsid w:val="003F59BD"/>
    <w:rsid w:val="003F6947"/>
    <w:rsid w:val="003F782D"/>
    <w:rsid w:val="0040079E"/>
    <w:rsid w:val="00400CC2"/>
    <w:rsid w:val="00402153"/>
    <w:rsid w:val="00402FC1"/>
    <w:rsid w:val="00405227"/>
    <w:rsid w:val="00410486"/>
    <w:rsid w:val="00411C1C"/>
    <w:rsid w:val="0041249E"/>
    <w:rsid w:val="004139FA"/>
    <w:rsid w:val="00414EFC"/>
    <w:rsid w:val="0042063D"/>
    <w:rsid w:val="0042078A"/>
    <w:rsid w:val="0042238D"/>
    <w:rsid w:val="00425082"/>
    <w:rsid w:val="00425B97"/>
    <w:rsid w:val="00426853"/>
    <w:rsid w:val="00426FEE"/>
    <w:rsid w:val="00427788"/>
    <w:rsid w:val="004303A3"/>
    <w:rsid w:val="00431DEB"/>
    <w:rsid w:val="004321AC"/>
    <w:rsid w:val="00436833"/>
    <w:rsid w:val="00440419"/>
    <w:rsid w:val="00443516"/>
    <w:rsid w:val="00443ECF"/>
    <w:rsid w:val="00445047"/>
    <w:rsid w:val="00446B29"/>
    <w:rsid w:val="00450388"/>
    <w:rsid w:val="00451053"/>
    <w:rsid w:val="004512AE"/>
    <w:rsid w:val="00452DED"/>
    <w:rsid w:val="00453F9A"/>
    <w:rsid w:val="0045421C"/>
    <w:rsid w:val="00454822"/>
    <w:rsid w:val="00454FEE"/>
    <w:rsid w:val="00456862"/>
    <w:rsid w:val="00456B59"/>
    <w:rsid w:val="00456BE1"/>
    <w:rsid w:val="00457A68"/>
    <w:rsid w:val="00460F98"/>
    <w:rsid w:val="0046440B"/>
    <w:rsid w:val="0046489B"/>
    <w:rsid w:val="0046741C"/>
    <w:rsid w:val="004703AF"/>
    <w:rsid w:val="00471E91"/>
    <w:rsid w:val="0047236F"/>
    <w:rsid w:val="00473E8F"/>
    <w:rsid w:val="00474675"/>
    <w:rsid w:val="0047470C"/>
    <w:rsid w:val="00474A17"/>
    <w:rsid w:val="004761C4"/>
    <w:rsid w:val="0047624C"/>
    <w:rsid w:val="004764F0"/>
    <w:rsid w:val="004768AF"/>
    <w:rsid w:val="00483529"/>
    <w:rsid w:val="00483FC4"/>
    <w:rsid w:val="00487691"/>
    <w:rsid w:val="004900F8"/>
    <w:rsid w:val="0049130B"/>
    <w:rsid w:val="00494686"/>
    <w:rsid w:val="004A13AB"/>
    <w:rsid w:val="004A19E6"/>
    <w:rsid w:val="004A35F9"/>
    <w:rsid w:val="004A6D00"/>
    <w:rsid w:val="004B0827"/>
    <w:rsid w:val="004B0AE8"/>
    <w:rsid w:val="004B0D34"/>
    <w:rsid w:val="004B112C"/>
    <w:rsid w:val="004B154A"/>
    <w:rsid w:val="004B24C1"/>
    <w:rsid w:val="004B72F5"/>
    <w:rsid w:val="004C065E"/>
    <w:rsid w:val="004C0D07"/>
    <w:rsid w:val="004C23D3"/>
    <w:rsid w:val="004C292F"/>
    <w:rsid w:val="004C75AD"/>
    <w:rsid w:val="004C79F0"/>
    <w:rsid w:val="004D024D"/>
    <w:rsid w:val="004D40C7"/>
    <w:rsid w:val="004E2E60"/>
    <w:rsid w:val="004E3D33"/>
    <w:rsid w:val="004E49F9"/>
    <w:rsid w:val="004E4EC0"/>
    <w:rsid w:val="004E524F"/>
    <w:rsid w:val="004E5A8D"/>
    <w:rsid w:val="004E60AB"/>
    <w:rsid w:val="004E7010"/>
    <w:rsid w:val="004F0745"/>
    <w:rsid w:val="004F341E"/>
    <w:rsid w:val="004F3EB5"/>
    <w:rsid w:val="004F67DF"/>
    <w:rsid w:val="005041A3"/>
    <w:rsid w:val="005045B9"/>
    <w:rsid w:val="00506BF2"/>
    <w:rsid w:val="00510280"/>
    <w:rsid w:val="005109A9"/>
    <w:rsid w:val="0051271D"/>
    <w:rsid w:val="005134D6"/>
    <w:rsid w:val="00513BF4"/>
    <w:rsid w:val="00513D73"/>
    <w:rsid w:val="00514A43"/>
    <w:rsid w:val="005174E5"/>
    <w:rsid w:val="00522393"/>
    <w:rsid w:val="00522620"/>
    <w:rsid w:val="00523E9A"/>
    <w:rsid w:val="005252A2"/>
    <w:rsid w:val="00525656"/>
    <w:rsid w:val="005274B4"/>
    <w:rsid w:val="00527E30"/>
    <w:rsid w:val="00530C92"/>
    <w:rsid w:val="0053138F"/>
    <w:rsid w:val="00533659"/>
    <w:rsid w:val="00534A2B"/>
    <w:rsid w:val="00534C02"/>
    <w:rsid w:val="00535202"/>
    <w:rsid w:val="0054264B"/>
    <w:rsid w:val="00542AC3"/>
    <w:rsid w:val="00543786"/>
    <w:rsid w:val="005437EF"/>
    <w:rsid w:val="00544773"/>
    <w:rsid w:val="00545E31"/>
    <w:rsid w:val="005466DD"/>
    <w:rsid w:val="005522F0"/>
    <w:rsid w:val="00552B19"/>
    <w:rsid w:val="00552D8F"/>
    <w:rsid w:val="00552EEF"/>
    <w:rsid w:val="005533D7"/>
    <w:rsid w:val="00555321"/>
    <w:rsid w:val="00555C26"/>
    <w:rsid w:val="00561350"/>
    <w:rsid w:val="0056145C"/>
    <w:rsid w:val="00561993"/>
    <w:rsid w:val="00564541"/>
    <w:rsid w:val="00566547"/>
    <w:rsid w:val="005703DE"/>
    <w:rsid w:val="00570405"/>
    <w:rsid w:val="005710D0"/>
    <w:rsid w:val="00571DBA"/>
    <w:rsid w:val="00574A4D"/>
    <w:rsid w:val="005762BA"/>
    <w:rsid w:val="005765ED"/>
    <w:rsid w:val="00584170"/>
    <w:rsid w:val="0058464E"/>
    <w:rsid w:val="00584BBA"/>
    <w:rsid w:val="0058501B"/>
    <w:rsid w:val="005859AD"/>
    <w:rsid w:val="00586453"/>
    <w:rsid w:val="0058762A"/>
    <w:rsid w:val="00587BEC"/>
    <w:rsid w:val="00590554"/>
    <w:rsid w:val="0059070F"/>
    <w:rsid w:val="00591ABF"/>
    <w:rsid w:val="00593574"/>
    <w:rsid w:val="0059495C"/>
    <w:rsid w:val="00597ED5"/>
    <w:rsid w:val="005A01CB"/>
    <w:rsid w:val="005A02D6"/>
    <w:rsid w:val="005A03FA"/>
    <w:rsid w:val="005A1DF7"/>
    <w:rsid w:val="005A348C"/>
    <w:rsid w:val="005A58FF"/>
    <w:rsid w:val="005A5EAF"/>
    <w:rsid w:val="005A64C0"/>
    <w:rsid w:val="005B06FA"/>
    <w:rsid w:val="005B0F8B"/>
    <w:rsid w:val="005B39F9"/>
    <w:rsid w:val="005B3C11"/>
    <w:rsid w:val="005C1A73"/>
    <w:rsid w:val="005C1C28"/>
    <w:rsid w:val="005C28D7"/>
    <w:rsid w:val="005C2B6B"/>
    <w:rsid w:val="005C681D"/>
    <w:rsid w:val="005C6DB5"/>
    <w:rsid w:val="005D3474"/>
    <w:rsid w:val="005D452D"/>
    <w:rsid w:val="005E19E7"/>
    <w:rsid w:val="005E1D60"/>
    <w:rsid w:val="005E2727"/>
    <w:rsid w:val="005E5389"/>
    <w:rsid w:val="005F6225"/>
    <w:rsid w:val="005F6A81"/>
    <w:rsid w:val="005F7024"/>
    <w:rsid w:val="00601205"/>
    <w:rsid w:val="00601795"/>
    <w:rsid w:val="00601972"/>
    <w:rsid w:val="006021A3"/>
    <w:rsid w:val="0060286C"/>
    <w:rsid w:val="00602F07"/>
    <w:rsid w:val="00612BD2"/>
    <w:rsid w:val="006160BE"/>
    <w:rsid w:val="0061716C"/>
    <w:rsid w:val="00617D01"/>
    <w:rsid w:val="006204B5"/>
    <w:rsid w:val="006243A1"/>
    <w:rsid w:val="0062471E"/>
    <w:rsid w:val="0062477F"/>
    <w:rsid w:val="006256C0"/>
    <w:rsid w:val="00626668"/>
    <w:rsid w:val="006314B6"/>
    <w:rsid w:val="00632A5E"/>
    <w:rsid w:val="00632E56"/>
    <w:rsid w:val="00635CBA"/>
    <w:rsid w:val="006371D6"/>
    <w:rsid w:val="00640C73"/>
    <w:rsid w:val="00641749"/>
    <w:rsid w:val="00643063"/>
    <w:rsid w:val="0064338B"/>
    <w:rsid w:val="0064535C"/>
    <w:rsid w:val="00646542"/>
    <w:rsid w:val="006504F4"/>
    <w:rsid w:val="00652C78"/>
    <w:rsid w:val="00652D5A"/>
    <w:rsid w:val="00653969"/>
    <w:rsid w:val="006541C4"/>
    <w:rsid w:val="00654BC9"/>
    <w:rsid w:val="00654E28"/>
    <w:rsid w:val="006552FD"/>
    <w:rsid w:val="00655C51"/>
    <w:rsid w:val="00656454"/>
    <w:rsid w:val="006572CE"/>
    <w:rsid w:val="00660A50"/>
    <w:rsid w:val="006636E8"/>
    <w:rsid w:val="00663AF3"/>
    <w:rsid w:val="00666B6C"/>
    <w:rsid w:val="00667587"/>
    <w:rsid w:val="00670A79"/>
    <w:rsid w:val="0067372B"/>
    <w:rsid w:val="00676C07"/>
    <w:rsid w:val="0068055B"/>
    <w:rsid w:val="00682682"/>
    <w:rsid w:val="00682702"/>
    <w:rsid w:val="006840B7"/>
    <w:rsid w:val="006858A6"/>
    <w:rsid w:val="00690AFD"/>
    <w:rsid w:val="00691F8B"/>
    <w:rsid w:val="00692368"/>
    <w:rsid w:val="00692DAA"/>
    <w:rsid w:val="006930DC"/>
    <w:rsid w:val="0069360B"/>
    <w:rsid w:val="006948BC"/>
    <w:rsid w:val="006A206D"/>
    <w:rsid w:val="006A2EBC"/>
    <w:rsid w:val="006A326B"/>
    <w:rsid w:val="006A3BFA"/>
    <w:rsid w:val="006A45E3"/>
    <w:rsid w:val="006A5675"/>
    <w:rsid w:val="006A5EA0"/>
    <w:rsid w:val="006A603E"/>
    <w:rsid w:val="006A783B"/>
    <w:rsid w:val="006A7B33"/>
    <w:rsid w:val="006B0F4E"/>
    <w:rsid w:val="006B107F"/>
    <w:rsid w:val="006B263A"/>
    <w:rsid w:val="006B4E13"/>
    <w:rsid w:val="006B6CFE"/>
    <w:rsid w:val="006B75DD"/>
    <w:rsid w:val="006B7683"/>
    <w:rsid w:val="006B7DC0"/>
    <w:rsid w:val="006C0986"/>
    <w:rsid w:val="006C4147"/>
    <w:rsid w:val="006C5F1F"/>
    <w:rsid w:val="006C67E0"/>
    <w:rsid w:val="006C7ABA"/>
    <w:rsid w:val="006D0D60"/>
    <w:rsid w:val="006D1122"/>
    <w:rsid w:val="006D1B40"/>
    <w:rsid w:val="006D27B1"/>
    <w:rsid w:val="006D3C00"/>
    <w:rsid w:val="006D41CB"/>
    <w:rsid w:val="006D4213"/>
    <w:rsid w:val="006D5DA8"/>
    <w:rsid w:val="006D73F3"/>
    <w:rsid w:val="006E1524"/>
    <w:rsid w:val="006E3675"/>
    <w:rsid w:val="006E4A7F"/>
    <w:rsid w:val="006F29B5"/>
    <w:rsid w:val="006F6D5C"/>
    <w:rsid w:val="006F6DC8"/>
    <w:rsid w:val="006F7BB8"/>
    <w:rsid w:val="0070235A"/>
    <w:rsid w:val="00702647"/>
    <w:rsid w:val="00704DF6"/>
    <w:rsid w:val="0070651C"/>
    <w:rsid w:val="007103C9"/>
    <w:rsid w:val="007132A3"/>
    <w:rsid w:val="00713A1B"/>
    <w:rsid w:val="00713EAC"/>
    <w:rsid w:val="00715BE1"/>
    <w:rsid w:val="00716421"/>
    <w:rsid w:val="00717B1F"/>
    <w:rsid w:val="007216C5"/>
    <w:rsid w:val="007220CA"/>
    <w:rsid w:val="00722C7C"/>
    <w:rsid w:val="00723D45"/>
    <w:rsid w:val="00723F42"/>
    <w:rsid w:val="00724EFB"/>
    <w:rsid w:val="007254B5"/>
    <w:rsid w:val="00731116"/>
    <w:rsid w:val="007342DE"/>
    <w:rsid w:val="00734556"/>
    <w:rsid w:val="0073570B"/>
    <w:rsid w:val="00740BB0"/>
    <w:rsid w:val="0074137C"/>
    <w:rsid w:val="007419C3"/>
    <w:rsid w:val="00742AA2"/>
    <w:rsid w:val="007431D7"/>
    <w:rsid w:val="0074590D"/>
    <w:rsid w:val="007467A7"/>
    <w:rsid w:val="007469DD"/>
    <w:rsid w:val="0074741B"/>
    <w:rsid w:val="0074759E"/>
    <w:rsid w:val="007478EA"/>
    <w:rsid w:val="0075010B"/>
    <w:rsid w:val="0075142D"/>
    <w:rsid w:val="00752EFF"/>
    <w:rsid w:val="00753BE1"/>
    <w:rsid w:val="0075415C"/>
    <w:rsid w:val="00755952"/>
    <w:rsid w:val="00757921"/>
    <w:rsid w:val="00761928"/>
    <w:rsid w:val="00762690"/>
    <w:rsid w:val="00763296"/>
    <w:rsid w:val="00763502"/>
    <w:rsid w:val="007709FF"/>
    <w:rsid w:val="00771D77"/>
    <w:rsid w:val="00774612"/>
    <w:rsid w:val="00777057"/>
    <w:rsid w:val="0078531B"/>
    <w:rsid w:val="007858C3"/>
    <w:rsid w:val="00785DD2"/>
    <w:rsid w:val="007879EF"/>
    <w:rsid w:val="00787BED"/>
    <w:rsid w:val="00787D7C"/>
    <w:rsid w:val="00790728"/>
    <w:rsid w:val="0079094B"/>
    <w:rsid w:val="00790E5B"/>
    <w:rsid w:val="007913AB"/>
    <w:rsid w:val="007914F7"/>
    <w:rsid w:val="00791987"/>
    <w:rsid w:val="00792503"/>
    <w:rsid w:val="00796AD6"/>
    <w:rsid w:val="00796CFB"/>
    <w:rsid w:val="007A0B34"/>
    <w:rsid w:val="007A1167"/>
    <w:rsid w:val="007A2C55"/>
    <w:rsid w:val="007A40C8"/>
    <w:rsid w:val="007A4220"/>
    <w:rsid w:val="007A56B1"/>
    <w:rsid w:val="007A57C9"/>
    <w:rsid w:val="007B0BB8"/>
    <w:rsid w:val="007B1625"/>
    <w:rsid w:val="007B3C82"/>
    <w:rsid w:val="007B456F"/>
    <w:rsid w:val="007B4722"/>
    <w:rsid w:val="007B706E"/>
    <w:rsid w:val="007B71EB"/>
    <w:rsid w:val="007B7C35"/>
    <w:rsid w:val="007C0761"/>
    <w:rsid w:val="007C1293"/>
    <w:rsid w:val="007C1F27"/>
    <w:rsid w:val="007C5B3A"/>
    <w:rsid w:val="007C6205"/>
    <w:rsid w:val="007C686A"/>
    <w:rsid w:val="007C6B11"/>
    <w:rsid w:val="007C6FAF"/>
    <w:rsid w:val="007C728E"/>
    <w:rsid w:val="007C764C"/>
    <w:rsid w:val="007D2C53"/>
    <w:rsid w:val="007D3D60"/>
    <w:rsid w:val="007D4A79"/>
    <w:rsid w:val="007E1980"/>
    <w:rsid w:val="007E3B46"/>
    <w:rsid w:val="007E4B76"/>
    <w:rsid w:val="007E53AD"/>
    <w:rsid w:val="007E5EA8"/>
    <w:rsid w:val="007E78D5"/>
    <w:rsid w:val="007F05FC"/>
    <w:rsid w:val="007F0641"/>
    <w:rsid w:val="007F066A"/>
    <w:rsid w:val="007F0B7B"/>
    <w:rsid w:val="007F0CF1"/>
    <w:rsid w:val="007F12A5"/>
    <w:rsid w:val="007F1CAB"/>
    <w:rsid w:val="007F25BF"/>
    <w:rsid w:val="007F3023"/>
    <w:rsid w:val="007F3E1F"/>
    <w:rsid w:val="007F4CF1"/>
    <w:rsid w:val="007F6B7D"/>
    <w:rsid w:val="007F741C"/>
    <w:rsid w:val="007F742E"/>
    <w:rsid w:val="007F758D"/>
    <w:rsid w:val="007F7D52"/>
    <w:rsid w:val="008004EC"/>
    <w:rsid w:val="00801494"/>
    <w:rsid w:val="00801951"/>
    <w:rsid w:val="00801F33"/>
    <w:rsid w:val="008029A9"/>
    <w:rsid w:val="00802B0D"/>
    <w:rsid w:val="00802CA3"/>
    <w:rsid w:val="00803BAD"/>
    <w:rsid w:val="008041B1"/>
    <w:rsid w:val="008053A9"/>
    <w:rsid w:val="0080654C"/>
    <w:rsid w:val="00807044"/>
    <w:rsid w:val="008071C6"/>
    <w:rsid w:val="00807DB1"/>
    <w:rsid w:val="00810A2F"/>
    <w:rsid w:val="00811D7C"/>
    <w:rsid w:val="0081225C"/>
    <w:rsid w:val="0081231D"/>
    <w:rsid w:val="008159CE"/>
    <w:rsid w:val="0081694C"/>
    <w:rsid w:val="00817A00"/>
    <w:rsid w:val="008204F0"/>
    <w:rsid w:val="00820EBC"/>
    <w:rsid w:val="008300ED"/>
    <w:rsid w:val="0083317E"/>
    <w:rsid w:val="00835000"/>
    <w:rsid w:val="00835DB3"/>
    <w:rsid w:val="0083617B"/>
    <w:rsid w:val="0083677B"/>
    <w:rsid w:val="008371BD"/>
    <w:rsid w:val="008377AA"/>
    <w:rsid w:val="00841D0B"/>
    <w:rsid w:val="008436E3"/>
    <w:rsid w:val="00843E50"/>
    <w:rsid w:val="008466AE"/>
    <w:rsid w:val="008504A8"/>
    <w:rsid w:val="008505F9"/>
    <w:rsid w:val="00850EB4"/>
    <w:rsid w:val="008525DC"/>
    <w:rsid w:val="0085282E"/>
    <w:rsid w:val="00853388"/>
    <w:rsid w:val="0085459E"/>
    <w:rsid w:val="00862973"/>
    <w:rsid w:val="00863D0D"/>
    <w:rsid w:val="00866A7D"/>
    <w:rsid w:val="00866E63"/>
    <w:rsid w:val="0087097D"/>
    <w:rsid w:val="0087198C"/>
    <w:rsid w:val="00872C1F"/>
    <w:rsid w:val="00873B42"/>
    <w:rsid w:val="00875444"/>
    <w:rsid w:val="00877C78"/>
    <w:rsid w:val="00877F64"/>
    <w:rsid w:val="008805AC"/>
    <w:rsid w:val="00881629"/>
    <w:rsid w:val="008820B0"/>
    <w:rsid w:val="00882A15"/>
    <w:rsid w:val="008856D8"/>
    <w:rsid w:val="00885B1D"/>
    <w:rsid w:val="00886700"/>
    <w:rsid w:val="00887496"/>
    <w:rsid w:val="00887BF9"/>
    <w:rsid w:val="00890FA4"/>
    <w:rsid w:val="00892E82"/>
    <w:rsid w:val="00894DDC"/>
    <w:rsid w:val="008A1F46"/>
    <w:rsid w:val="008A2569"/>
    <w:rsid w:val="008A42AF"/>
    <w:rsid w:val="008A48D0"/>
    <w:rsid w:val="008A5825"/>
    <w:rsid w:val="008A5960"/>
    <w:rsid w:val="008C1B58"/>
    <w:rsid w:val="008C39AE"/>
    <w:rsid w:val="008C4CBF"/>
    <w:rsid w:val="008C53D9"/>
    <w:rsid w:val="008C590D"/>
    <w:rsid w:val="008C619B"/>
    <w:rsid w:val="008C6D1E"/>
    <w:rsid w:val="008D1338"/>
    <w:rsid w:val="008D3A66"/>
    <w:rsid w:val="008D6AB3"/>
    <w:rsid w:val="008D770C"/>
    <w:rsid w:val="008E031B"/>
    <w:rsid w:val="008E076B"/>
    <w:rsid w:val="008E1D9A"/>
    <w:rsid w:val="008E2D32"/>
    <w:rsid w:val="008E309B"/>
    <w:rsid w:val="008E3648"/>
    <w:rsid w:val="008E3E53"/>
    <w:rsid w:val="008E7029"/>
    <w:rsid w:val="008E7EF6"/>
    <w:rsid w:val="008F1F98"/>
    <w:rsid w:val="008F2305"/>
    <w:rsid w:val="008F30FA"/>
    <w:rsid w:val="008F344D"/>
    <w:rsid w:val="008F6758"/>
    <w:rsid w:val="008F6E88"/>
    <w:rsid w:val="009001E8"/>
    <w:rsid w:val="0090029E"/>
    <w:rsid w:val="00900F8D"/>
    <w:rsid w:val="009027CF"/>
    <w:rsid w:val="00902C79"/>
    <w:rsid w:val="009040DD"/>
    <w:rsid w:val="00905B47"/>
    <w:rsid w:val="00906402"/>
    <w:rsid w:val="009119C8"/>
    <w:rsid w:val="0091331C"/>
    <w:rsid w:val="00914922"/>
    <w:rsid w:val="00914FB4"/>
    <w:rsid w:val="00915B8A"/>
    <w:rsid w:val="00916EBB"/>
    <w:rsid w:val="009178F8"/>
    <w:rsid w:val="009210B6"/>
    <w:rsid w:val="009232DD"/>
    <w:rsid w:val="009239A1"/>
    <w:rsid w:val="00923E01"/>
    <w:rsid w:val="009258DA"/>
    <w:rsid w:val="009264F0"/>
    <w:rsid w:val="009279DE"/>
    <w:rsid w:val="00930116"/>
    <w:rsid w:val="009320A7"/>
    <w:rsid w:val="00932A8E"/>
    <w:rsid w:val="00933EE1"/>
    <w:rsid w:val="009340FF"/>
    <w:rsid w:val="009358A8"/>
    <w:rsid w:val="00936FA3"/>
    <w:rsid w:val="00937C72"/>
    <w:rsid w:val="00937DAF"/>
    <w:rsid w:val="0094212C"/>
    <w:rsid w:val="009430FA"/>
    <w:rsid w:val="009437F4"/>
    <w:rsid w:val="0094667A"/>
    <w:rsid w:val="0094748A"/>
    <w:rsid w:val="00947DE0"/>
    <w:rsid w:val="0095060D"/>
    <w:rsid w:val="00952AD3"/>
    <w:rsid w:val="00953CD9"/>
    <w:rsid w:val="009542DE"/>
    <w:rsid w:val="00954689"/>
    <w:rsid w:val="0096120A"/>
    <w:rsid w:val="009617C9"/>
    <w:rsid w:val="00961C93"/>
    <w:rsid w:val="009624F9"/>
    <w:rsid w:val="00962B59"/>
    <w:rsid w:val="00962E68"/>
    <w:rsid w:val="00965324"/>
    <w:rsid w:val="00966281"/>
    <w:rsid w:val="0097091E"/>
    <w:rsid w:val="00971818"/>
    <w:rsid w:val="009752B8"/>
    <w:rsid w:val="009760D3"/>
    <w:rsid w:val="00977132"/>
    <w:rsid w:val="00980659"/>
    <w:rsid w:val="009810FC"/>
    <w:rsid w:val="00981A4B"/>
    <w:rsid w:val="00982501"/>
    <w:rsid w:val="00987431"/>
    <w:rsid w:val="009877D3"/>
    <w:rsid w:val="00993685"/>
    <w:rsid w:val="0099466D"/>
    <w:rsid w:val="00994E8F"/>
    <w:rsid w:val="009951DC"/>
    <w:rsid w:val="0099543D"/>
    <w:rsid w:val="009959BB"/>
    <w:rsid w:val="00996E79"/>
    <w:rsid w:val="00997158"/>
    <w:rsid w:val="009A086E"/>
    <w:rsid w:val="009A0D9C"/>
    <w:rsid w:val="009A1249"/>
    <w:rsid w:val="009A3539"/>
    <w:rsid w:val="009A3A7C"/>
    <w:rsid w:val="009A405E"/>
    <w:rsid w:val="009A5BF4"/>
    <w:rsid w:val="009A6E83"/>
    <w:rsid w:val="009B0CFB"/>
    <w:rsid w:val="009B1261"/>
    <w:rsid w:val="009B2ADB"/>
    <w:rsid w:val="009B54F8"/>
    <w:rsid w:val="009B603A"/>
    <w:rsid w:val="009B621E"/>
    <w:rsid w:val="009B7333"/>
    <w:rsid w:val="009C2410"/>
    <w:rsid w:val="009C2D0E"/>
    <w:rsid w:val="009C3AB3"/>
    <w:rsid w:val="009C3DAC"/>
    <w:rsid w:val="009C42E0"/>
    <w:rsid w:val="009C7FA1"/>
    <w:rsid w:val="009D0028"/>
    <w:rsid w:val="009D00F7"/>
    <w:rsid w:val="009D0803"/>
    <w:rsid w:val="009D2688"/>
    <w:rsid w:val="009D501E"/>
    <w:rsid w:val="009D5362"/>
    <w:rsid w:val="009D7233"/>
    <w:rsid w:val="009E0376"/>
    <w:rsid w:val="009E06F0"/>
    <w:rsid w:val="009E07B2"/>
    <w:rsid w:val="009E13E2"/>
    <w:rsid w:val="009E1415"/>
    <w:rsid w:val="009E27FC"/>
    <w:rsid w:val="009E6116"/>
    <w:rsid w:val="009F125F"/>
    <w:rsid w:val="009F1733"/>
    <w:rsid w:val="00A010DC"/>
    <w:rsid w:val="00A02AE2"/>
    <w:rsid w:val="00A02E43"/>
    <w:rsid w:val="00A04E74"/>
    <w:rsid w:val="00A065F9"/>
    <w:rsid w:val="00A06751"/>
    <w:rsid w:val="00A07F34"/>
    <w:rsid w:val="00A101E6"/>
    <w:rsid w:val="00A105FF"/>
    <w:rsid w:val="00A10AF1"/>
    <w:rsid w:val="00A168B3"/>
    <w:rsid w:val="00A22154"/>
    <w:rsid w:val="00A2324F"/>
    <w:rsid w:val="00A23DEA"/>
    <w:rsid w:val="00A23F35"/>
    <w:rsid w:val="00A25BEA"/>
    <w:rsid w:val="00A25C38"/>
    <w:rsid w:val="00A2727C"/>
    <w:rsid w:val="00A305C3"/>
    <w:rsid w:val="00A3264F"/>
    <w:rsid w:val="00A327CC"/>
    <w:rsid w:val="00A338AD"/>
    <w:rsid w:val="00A34D48"/>
    <w:rsid w:val="00A35AB4"/>
    <w:rsid w:val="00A35D9B"/>
    <w:rsid w:val="00A360F3"/>
    <w:rsid w:val="00A364E7"/>
    <w:rsid w:val="00A36BBE"/>
    <w:rsid w:val="00A4307A"/>
    <w:rsid w:val="00A435AD"/>
    <w:rsid w:val="00A4449B"/>
    <w:rsid w:val="00A448BC"/>
    <w:rsid w:val="00A44CC7"/>
    <w:rsid w:val="00A4615E"/>
    <w:rsid w:val="00A46164"/>
    <w:rsid w:val="00A4690E"/>
    <w:rsid w:val="00A47EBB"/>
    <w:rsid w:val="00A50B21"/>
    <w:rsid w:val="00A51CDD"/>
    <w:rsid w:val="00A53DBF"/>
    <w:rsid w:val="00A544F0"/>
    <w:rsid w:val="00A57012"/>
    <w:rsid w:val="00A57872"/>
    <w:rsid w:val="00A6156E"/>
    <w:rsid w:val="00A62603"/>
    <w:rsid w:val="00A639EC"/>
    <w:rsid w:val="00A651FD"/>
    <w:rsid w:val="00A65623"/>
    <w:rsid w:val="00A66DE7"/>
    <w:rsid w:val="00A6730D"/>
    <w:rsid w:val="00A705EE"/>
    <w:rsid w:val="00A71625"/>
    <w:rsid w:val="00A7191F"/>
    <w:rsid w:val="00A71B9B"/>
    <w:rsid w:val="00A720E4"/>
    <w:rsid w:val="00A72D34"/>
    <w:rsid w:val="00A73E6D"/>
    <w:rsid w:val="00A751C7"/>
    <w:rsid w:val="00A77284"/>
    <w:rsid w:val="00A8008B"/>
    <w:rsid w:val="00A84A44"/>
    <w:rsid w:val="00A8536F"/>
    <w:rsid w:val="00A863E2"/>
    <w:rsid w:val="00A86E3D"/>
    <w:rsid w:val="00A87844"/>
    <w:rsid w:val="00A94DDC"/>
    <w:rsid w:val="00A958A0"/>
    <w:rsid w:val="00A95D7F"/>
    <w:rsid w:val="00A9791C"/>
    <w:rsid w:val="00AA038C"/>
    <w:rsid w:val="00AA41A5"/>
    <w:rsid w:val="00AA5C23"/>
    <w:rsid w:val="00AA7A09"/>
    <w:rsid w:val="00AA7AC9"/>
    <w:rsid w:val="00AB03B3"/>
    <w:rsid w:val="00AB1403"/>
    <w:rsid w:val="00AB2481"/>
    <w:rsid w:val="00AB331D"/>
    <w:rsid w:val="00AB3AC9"/>
    <w:rsid w:val="00AB3B50"/>
    <w:rsid w:val="00AC05B1"/>
    <w:rsid w:val="00AC081D"/>
    <w:rsid w:val="00AC0DCC"/>
    <w:rsid w:val="00AC0E2E"/>
    <w:rsid w:val="00AC1771"/>
    <w:rsid w:val="00AC5093"/>
    <w:rsid w:val="00AD0F15"/>
    <w:rsid w:val="00AD130D"/>
    <w:rsid w:val="00AD356C"/>
    <w:rsid w:val="00AD5C75"/>
    <w:rsid w:val="00AD68DA"/>
    <w:rsid w:val="00AD6E5D"/>
    <w:rsid w:val="00AD7133"/>
    <w:rsid w:val="00AD7323"/>
    <w:rsid w:val="00AE095E"/>
    <w:rsid w:val="00AE26C6"/>
    <w:rsid w:val="00AE2914"/>
    <w:rsid w:val="00AE4C8E"/>
    <w:rsid w:val="00AE569A"/>
    <w:rsid w:val="00AE5A07"/>
    <w:rsid w:val="00AE6D15"/>
    <w:rsid w:val="00AE7DD0"/>
    <w:rsid w:val="00AF0299"/>
    <w:rsid w:val="00AF480A"/>
    <w:rsid w:val="00AF489A"/>
    <w:rsid w:val="00AF5F6D"/>
    <w:rsid w:val="00AF6ABD"/>
    <w:rsid w:val="00B002EC"/>
    <w:rsid w:val="00B009FA"/>
    <w:rsid w:val="00B0146F"/>
    <w:rsid w:val="00B02C2E"/>
    <w:rsid w:val="00B04182"/>
    <w:rsid w:val="00B04250"/>
    <w:rsid w:val="00B05897"/>
    <w:rsid w:val="00B07AE3"/>
    <w:rsid w:val="00B10342"/>
    <w:rsid w:val="00B11430"/>
    <w:rsid w:val="00B15A48"/>
    <w:rsid w:val="00B1608D"/>
    <w:rsid w:val="00B20059"/>
    <w:rsid w:val="00B20E56"/>
    <w:rsid w:val="00B25683"/>
    <w:rsid w:val="00B25D21"/>
    <w:rsid w:val="00B262F5"/>
    <w:rsid w:val="00B34021"/>
    <w:rsid w:val="00B34A38"/>
    <w:rsid w:val="00B353EB"/>
    <w:rsid w:val="00B36BCC"/>
    <w:rsid w:val="00B40760"/>
    <w:rsid w:val="00B40CC9"/>
    <w:rsid w:val="00B42604"/>
    <w:rsid w:val="00B42C7B"/>
    <w:rsid w:val="00B439C4"/>
    <w:rsid w:val="00B43D49"/>
    <w:rsid w:val="00B447C7"/>
    <w:rsid w:val="00B4535E"/>
    <w:rsid w:val="00B459CF"/>
    <w:rsid w:val="00B466F2"/>
    <w:rsid w:val="00B467EC"/>
    <w:rsid w:val="00B46BAF"/>
    <w:rsid w:val="00B501AA"/>
    <w:rsid w:val="00B5077B"/>
    <w:rsid w:val="00B51CFA"/>
    <w:rsid w:val="00B52A8C"/>
    <w:rsid w:val="00B53A76"/>
    <w:rsid w:val="00B55994"/>
    <w:rsid w:val="00B56B95"/>
    <w:rsid w:val="00B577C9"/>
    <w:rsid w:val="00B61E2D"/>
    <w:rsid w:val="00B636A8"/>
    <w:rsid w:val="00B654A0"/>
    <w:rsid w:val="00B6568D"/>
    <w:rsid w:val="00B65D60"/>
    <w:rsid w:val="00B665C6"/>
    <w:rsid w:val="00B70400"/>
    <w:rsid w:val="00B71AC4"/>
    <w:rsid w:val="00B75709"/>
    <w:rsid w:val="00B77533"/>
    <w:rsid w:val="00B805AF"/>
    <w:rsid w:val="00B80787"/>
    <w:rsid w:val="00B812BE"/>
    <w:rsid w:val="00B81917"/>
    <w:rsid w:val="00B81972"/>
    <w:rsid w:val="00B869EC"/>
    <w:rsid w:val="00B87084"/>
    <w:rsid w:val="00B901BA"/>
    <w:rsid w:val="00B91AF5"/>
    <w:rsid w:val="00B9397A"/>
    <w:rsid w:val="00B955B9"/>
    <w:rsid w:val="00B95E79"/>
    <w:rsid w:val="00B95EF2"/>
    <w:rsid w:val="00B96299"/>
    <w:rsid w:val="00B9633D"/>
    <w:rsid w:val="00B973D4"/>
    <w:rsid w:val="00B97E17"/>
    <w:rsid w:val="00BA2165"/>
    <w:rsid w:val="00BA2EBE"/>
    <w:rsid w:val="00BA4A8E"/>
    <w:rsid w:val="00BA4AB9"/>
    <w:rsid w:val="00BA58B0"/>
    <w:rsid w:val="00BA6146"/>
    <w:rsid w:val="00BB0F28"/>
    <w:rsid w:val="00BB1489"/>
    <w:rsid w:val="00BB458A"/>
    <w:rsid w:val="00BB6765"/>
    <w:rsid w:val="00BB7D40"/>
    <w:rsid w:val="00BC0BD5"/>
    <w:rsid w:val="00BC0C23"/>
    <w:rsid w:val="00BC2AC8"/>
    <w:rsid w:val="00BC56D9"/>
    <w:rsid w:val="00BC70E8"/>
    <w:rsid w:val="00BC7840"/>
    <w:rsid w:val="00BD0043"/>
    <w:rsid w:val="00BD00D3"/>
    <w:rsid w:val="00BD015E"/>
    <w:rsid w:val="00BD1659"/>
    <w:rsid w:val="00BD1B78"/>
    <w:rsid w:val="00BD3456"/>
    <w:rsid w:val="00BD3713"/>
    <w:rsid w:val="00BD3AA9"/>
    <w:rsid w:val="00BD4A18"/>
    <w:rsid w:val="00BD4CB6"/>
    <w:rsid w:val="00BD4EED"/>
    <w:rsid w:val="00BD6DB2"/>
    <w:rsid w:val="00BD74C2"/>
    <w:rsid w:val="00BE11CF"/>
    <w:rsid w:val="00BE21AB"/>
    <w:rsid w:val="00BE5422"/>
    <w:rsid w:val="00BE55CB"/>
    <w:rsid w:val="00BE6101"/>
    <w:rsid w:val="00BE7A1D"/>
    <w:rsid w:val="00BF1961"/>
    <w:rsid w:val="00BF368C"/>
    <w:rsid w:val="00BF5987"/>
    <w:rsid w:val="00BF5AE1"/>
    <w:rsid w:val="00BF617A"/>
    <w:rsid w:val="00C00C15"/>
    <w:rsid w:val="00C01DEE"/>
    <w:rsid w:val="00C0379D"/>
    <w:rsid w:val="00C03931"/>
    <w:rsid w:val="00C05207"/>
    <w:rsid w:val="00C05FE3"/>
    <w:rsid w:val="00C062B9"/>
    <w:rsid w:val="00C07417"/>
    <w:rsid w:val="00C11CF1"/>
    <w:rsid w:val="00C128DC"/>
    <w:rsid w:val="00C132DC"/>
    <w:rsid w:val="00C174DC"/>
    <w:rsid w:val="00C17EFD"/>
    <w:rsid w:val="00C20D2A"/>
    <w:rsid w:val="00C20E53"/>
    <w:rsid w:val="00C2136D"/>
    <w:rsid w:val="00C214EE"/>
    <w:rsid w:val="00C2314B"/>
    <w:rsid w:val="00C23B9C"/>
    <w:rsid w:val="00C23DD6"/>
    <w:rsid w:val="00C24971"/>
    <w:rsid w:val="00C26BE5"/>
    <w:rsid w:val="00C26E4D"/>
    <w:rsid w:val="00C27422"/>
    <w:rsid w:val="00C27909"/>
    <w:rsid w:val="00C27B03"/>
    <w:rsid w:val="00C302A9"/>
    <w:rsid w:val="00C3043D"/>
    <w:rsid w:val="00C30C21"/>
    <w:rsid w:val="00C314A3"/>
    <w:rsid w:val="00C314E1"/>
    <w:rsid w:val="00C33BE3"/>
    <w:rsid w:val="00C33F66"/>
    <w:rsid w:val="00C34397"/>
    <w:rsid w:val="00C35844"/>
    <w:rsid w:val="00C4095D"/>
    <w:rsid w:val="00C40A81"/>
    <w:rsid w:val="00C40F18"/>
    <w:rsid w:val="00C43992"/>
    <w:rsid w:val="00C4412D"/>
    <w:rsid w:val="00C44552"/>
    <w:rsid w:val="00C44EF2"/>
    <w:rsid w:val="00C46132"/>
    <w:rsid w:val="00C47973"/>
    <w:rsid w:val="00C527D2"/>
    <w:rsid w:val="00C55A9F"/>
    <w:rsid w:val="00C561FA"/>
    <w:rsid w:val="00C601D2"/>
    <w:rsid w:val="00C60E49"/>
    <w:rsid w:val="00C6197C"/>
    <w:rsid w:val="00C643BD"/>
    <w:rsid w:val="00C657AB"/>
    <w:rsid w:val="00C65BCC"/>
    <w:rsid w:val="00C66970"/>
    <w:rsid w:val="00C7014D"/>
    <w:rsid w:val="00C702A1"/>
    <w:rsid w:val="00C72AE9"/>
    <w:rsid w:val="00C73A5C"/>
    <w:rsid w:val="00C749A6"/>
    <w:rsid w:val="00C75526"/>
    <w:rsid w:val="00C75E01"/>
    <w:rsid w:val="00C800AE"/>
    <w:rsid w:val="00C8281D"/>
    <w:rsid w:val="00C857E3"/>
    <w:rsid w:val="00C865D2"/>
    <w:rsid w:val="00C8691C"/>
    <w:rsid w:val="00C90490"/>
    <w:rsid w:val="00C90819"/>
    <w:rsid w:val="00C9283D"/>
    <w:rsid w:val="00C931A9"/>
    <w:rsid w:val="00C95014"/>
    <w:rsid w:val="00CA168A"/>
    <w:rsid w:val="00CA29F6"/>
    <w:rsid w:val="00CA2D01"/>
    <w:rsid w:val="00CA357E"/>
    <w:rsid w:val="00CA35F0"/>
    <w:rsid w:val="00CA3F64"/>
    <w:rsid w:val="00CA44F9"/>
    <w:rsid w:val="00CA4A69"/>
    <w:rsid w:val="00CA7E8C"/>
    <w:rsid w:val="00CB03BB"/>
    <w:rsid w:val="00CB37E6"/>
    <w:rsid w:val="00CB4AE5"/>
    <w:rsid w:val="00CC0268"/>
    <w:rsid w:val="00CC3C1F"/>
    <w:rsid w:val="00CC3DF9"/>
    <w:rsid w:val="00CC3E0C"/>
    <w:rsid w:val="00CC58A8"/>
    <w:rsid w:val="00CC58D3"/>
    <w:rsid w:val="00CC784D"/>
    <w:rsid w:val="00CD034B"/>
    <w:rsid w:val="00CD1FC1"/>
    <w:rsid w:val="00CD3D35"/>
    <w:rsid w:val="00CD3EA7"/>
    <w:rsid w:val="00CD53DC"/>
    <w:rsid w:val="00CD7D19"/>
    <w:rsid w:val="00CE0205"/>
    <w:rsid w:val="00CE0E71"/>
    <w:rsid w:val="00CE27B5"/>
    <w:rsid w:val="00CE3432"/>
    <w:rsid w:val="00CE48D5"/>
    <w:rsid w:val="00CE4FA2"/>
    <w:rsid w:val="00CE5336"/>
    <w:rsid w:val="00CE69D4"/>
    <w:rsid w:val="00CF59B1"/>
    <w:rsid w:val="00CF674D"/>
    <w:rsid w:val="00D0337B"/>
    <w:rsid w:val="00D03643"/>
    <w:rsid w:val="00D0483E"/>
    <w:rsid w:val="00D05040"/>
    <w:rsid w:val="00D0532C"/>
    <w:rsid w:val="00D0631D"/>
    <w:rsid w:val="00D06943"/>
    <w:rsid w:val="00D079B2"/>
    <w:rsid w:val="00D07F12"/>
    <w:rsid w:val="00D1129E"/>
    <w:rsid w:val="00D114E9"/>
    <w:rsid w:val="00D11751"/>
    <w:rsid w:val="00D14A7E"/>
    <w:rsid w:val="00D21050"/>
    <w:rsid w:val="00D21282"/>
    <w:rsid w:val="00D21C58"/>
    <w:rsid w:val="00D21FDC"/>
    <w:rsid w:val="00D2620B"/>
    <w:rsid w:val="00D27B53"/>
    <w:rsid w:val="00D27CBF"/>
    <w:rsid w:val="00D32402"/>
    <w:rsid w:val="00D32CDE"/>
    <w:rsid w:val="00D33134"/>
    <w:rsid w:val="00D35A0D"/>
    <w:rsid w:val="00D362BB"/>
    <w:rsid w:val="00D36307"/>
    <w:rsid w:val="00D37AC9"/>
    <w:rsid w:val="00D408CA"/>
    <w:rsid w:val="00D40DDD"/>
    <w:rsid w:val="00D41570"/>
    <w:rsid w:val="00D41DCD"/>
    <w:rsid w:val="00D429C6"/>
    <w:rsid w:val="00D43C1F"/>
    <w:rsid w:val="00D43EE1"/>
    <w:rsid w:val="00D451DF"/>
    <w:rsid w:val="00D463E2"/>
    <w:rsid w:val="00D46640"/>
    <w:rsid w:val="00D46FF4"/>
    <w:rsid w:val="00D47748"/>
    <w:rsid w:val="00D4778A"/>
    <w:rsid w:val="00D54CC3"/>
    <w:rsid w:val="00D55EED"/>
    <w:rsid w:val="00D602DF"/>
    <w:rsid w:val="00D6041A"/>
    <w:rsid w:val="00D60966"/>
    <w:rsid w:val="00D61BF0"/>
    <w:rsid w:val="00D633EB"/>
    <w:rsid w:val="00D63A94"/>
    <w:rsid w:val="00D63C24"/>
    <w:rsid w:val="00D672F7"/>
    <w:rsid w:val="00D70CC3"/>
    <w:rsid w:val="00D71536"/>
    <w:rsid w:val="00D71ED8"/>
    <w:rsid w:val="00D72366"/>
    <w:rsid w:val="00D728A3"/>
    <w:rsid w:val="00D7367E"/>
    <w:rsid w:val="00D749E2"/>
    <w:rsid w:val="00D75B21"/>
    <w:rsid w:val="00D75E24"/>
    <w:rsid w:val="00D76CEE"/>
    <w:rsid w:val="00D77C63"/>
    <w:rsid w:val="00D80048"/>
    <w:rsid w:val="00D82FF7"/>
    <w:rsid w:val="00D841D2"/>
    <w:rsid w:val="00D847FE"/>
    <w:rsid w:val="00D85B30"/>
    <w:rsid w:val="00D86837"/>
    <w:rsid w:val="00D86F40"/>
    <w:rsid w:val="00D8746A"/>
    <w:rsid w:val="00D931E5"/>
    <w:rsid w:val="00D93BE6"/>
    <w:rsid w:val="00D95402"/>
    <w:rsid w:val="00D964EA"/>
    <w:rsid w:val="00D966D0"/>
    <w:rsid w:val="00D9726A"/>
    <w:rsid w:val="00DA0C59"/>
    <w:rsid w:val="00DA29DB"/>
    <w:rsid w:val="00DA2AB8"/>
    <w:rsid w:val="00DA2C2D"/>
    <w:rsid w:val="00DA3991"/>
    <w:rsid w:val="00DA3FE4"/>
    <w:rsid w:val="00DA40F1"/>
    <w:rsid w:val="00DA740E"/>
    <w:rsid w:val="00DA78B7"/>
    <w:rsid w:val="00DB0F1F"/>
    <w:rsid w:val="00DB1737"/>
    <w:rsid w:val="00DB2567"/>
    <w:rsid w:val="00DB3679"/>
    <w:rsid w:val="00DB52E1"/>
    <w:rsid w:val="00DB5517"/>
    <w:rsid w:val="00DB5B38"/>
    <w:rsid w:val="00DB6784"/>
    <w:rsid w:val="00DB78D4"/>
    <w:rsid w:val="00DB7E6C"/>
    <w:rsid w:val="00DC0683"/>
    <w:rsid w:val="00DC1D2A"/>
    <w:rsid w:val="00DC22F9"/>
    <w:rsid w:val="00DC23F8"/>
    <w:rsid w:val="00DC43D0"/>
    <w:rsid w:val="00DC554B"/>
    <w:rsid w:val="00DC55C7"/>
    <w:rsid w:val="00DD259F"/>
    <w:rsid w:val="00DD4CB7"/>
    <w:rsid w:val="00DD5A29"/>
    <w:rsid w:val="00DD5D9D"/>
    <w:rsid w:val="00DD68F7"/>
    <w:rsid w:val="00DD69D9"/>
    <w:rsid w:val="00DD73E0"/>
    <w:rsid w:val="00DD7742"/>
    <w:rsid w:val="00DD7B8F"/>
    <w:rsid w:val="00DD7EF4"/>
    <w:rsid w:val="00DE088C"/>
    <w:rsid w:val="00DE35CB"/>
    <w:rsid w:val="00DE3AB9"/>
    <w:rsid w:val="00DE42F3"/>
    <w:rsid w:val="00DE5FEB"/>
    <w:rsid w:val="00DF0EC5"/>
    <w:rsid w:val="00DF0EED"/>
    <w:rsid w:val="00DF181D"/>
    <w:rsid w:val="00DF21E9"/>
    <w:rsid w:val="00DF2453"/>
    <w:rsid w:val="00DF4C19"/>
    <w:rsid w:val="00E000AA"/>
    <w:rsid w:val="00E00F14"/>
    <w:rsid w:val="00E01FCB"/>
    <w:rsid w:val="00E022EA"/>
    <w:rsid w:val="00E02897"/>
    <w:rsid w:val="00E046D6"/>
    <w:rsid w:val="00E06386"/>
    <w:rsid w:val="00E10700"/>
    <w:rsid w:val="00E11CA0"/>
    <w:rsid w:val="00E13868"/>
    <w:rsid w:val="00E13EE5"/>
    <w:rsid w:val="00E15F6F"/>
    <w:rsid w:val="00E167DE"/>
    <w:rsid w:val="00E16C75"/>
    <w:rsid w:val="00E20927"/>
    <w:rsid w:val="00E2115B"/>
    <w:rsid w:val="00E21A3F"/>
    <w:rsid w:val="00E22223"/>
    <w:rsid w:val="00E24EB4"/>
    <w:rsid w:val="00E27248"/>
    <w:rsid w:val="00E30004"/>
    <w:rsid w:val="00E3048B"/>
    <w:rsid w:val="00E30A09"/>
    <w:rsid w:val="00E30A8C"/>
    <w:rsid w:val="00E320ED"/>
    <w:rsid w:val="00E32119"/>
    <w:rsid w:val="00E32B3B"/>
    <w:rsid w:val="00E32CC4"/>
    <w:rsid w:val="00E33AFB"/>
    <w:rsid w:val="00E34218"/>
    <w:rsid w:val="00E34B8E"/>
    <w:rsid w:val="00E34FC4"/>
    <w:rsid w:val="00E37E33"/>
    <w:rsid w:val="00E40E48"/>
    <w:rsid w:val="00E42AB5"/>
    <w:rsid w:val="00E431C6"/>
    <w:rsid w:val="00E43B90"/>
    <w:rsid w:val="00E4401D"/>
    <w:rsid w:val="00E46282"/>
    <w:rsid w:val="00E46A97"/>
    <w:rsid w:val="00E47DA9"/>
    <w:rsid w:val="00E5216E"/>
    <w:rsid w:val="00E52F5C"/>
    <w:rsid w:val="00E53A99"/>
    <w:rsid w:val="00E55450"/>
    <w:rsid w:val="00E5592E"/>
    <w:rsid w:val="00E559B3"/>
    <w:rsid w:val="00E56499"/>
    <w:rsid w:val="00E60BFC"/>
    <w:rsid w:val="00E621EE"/>
    <w:rsid w:val="00E63F42"/>
    <w:rsid w:val="00E64F13"/>
    <w:rsid w:val="00E668D3"/>
    <w:rsid w:val="00E703A0"/>
    <w:rsid w:val="00E71311"/>
    <w:rsid w:val="00E73F49"/>
    <w:rsid w:val="00E75017"/>
    <w:rsid w:val="00E82344"/>
    <w:rsid w:val="00E8384E"/>
    <w:rsid w:val="00E84804"/>
    <w:rsid w:val="00E84B4D"/>
    <w:rsid w:val="00E84C82"/>
    <w:rsid w:val="00E84D64"/>
    <w:rsid w:val="00E85D18"/>
    <w:rsid w:val="00E866FF"/>
    <w:rsid w:val="00E87408"/>
    <w:rsid w:val="00E87A72"/>
    <w:rsid w:val="00E914C4"/>
    <w:rsid w:val="00E916DD"/>
    <w:rsid w:val="00E92052"/>
    <w:rsid w:val="00E934F5"/>
    <w:rsid w:val="00E9573E"/>
    <w:rsid w:val="00E96961"/>
    <w:rsid w:val="00E97B21"/>
    <w:rsid w:val="00EA0DF3"/>
    <w:rsid w:val="00EA2475"/>
    <w:rsid w:val="00EA2535"/>
    <w:rsid w:val="00EA314D"/>
    <w:rsid w:val="00EA4960"/>
    <w:rsid w:val="00EA51DA"/>
    <w:rsid w:val="00EA5398"/>
    <w:rsid w:val="00EA72EC"/>
    <w:rsid w:val="00EB11CB"/>
    <w:rsid w:val="00EB13BB"/>
    <w:rsid w:val="00EB1595"/>
    <w:rsid w:val="00EB180F"/>
    <w:rsid w:val="00EB22C7"/>
    <w:rsid w:val="00EB275A"/>
    <w:rsid w:val="00EB2BA8"/>
    <w:rsid w:val="00EB2D25"/>
    <w:rsid w:val="00EB2D91"/>
    <w:rsid w:val="00EB34E1"/>
    <w:rsid w:val="00EB442F"/>
    <w:rsid w:val="00EB6544"/>
    <w:rsid w:val="00EB786A"/>
    <w:rsid w:val="00EC0CC5"/>
    <w:rsid w:val="00EC1578"/>
    <w:rsid w:val="00EC1C72"/>
    <w:rsid w:val="00EC3CC9"/>
    <w:rsid w:val="00EC412F"/>
    <w:rsid w:val="00EC5298"/>
    <w:rsid w:val="00EC602A"/>
    <w:rsid w:val="00EC680A"/>
    <w:rsid w:val="00ED48A2"/>
    <w:rsid w:val="00ED518A"/>
    <w:rsid w:val="00ED6E75"/>
    <w:rsid w:val="00ED7105"/>
    <w:rsid w:val="00ED7A21"/>
    <w:rsid w:val="00EE034F"/>
    <w:rsid w:val="00EE0EC2"/>
    <w:rsid w:val="00EE23B8"/>
    <w:rsid w:val="00EE2769"/>
    <w:rsid w:val="00EE2BED"/>
    <w:rsid w:val="00EE374B"/>
    <w:rsid w:val="00EE40C4"/>
    <w:rsid w:val="00EE51EB"/>
    <w:rsid w:val="00EE7B0C"/>
    <w:rsid w:val="00EF0396"/>
    <w:rsid w:val="00EF0CBF"/>
    <w:rsid w:val="00EF1784"/>
    <w:rsid w:val="00EF30A2"/>
    <w:rsid w:val="00EF38C3"/>
    <w:rsid w:val="00EF44F1"/>
    <w:rsid w:val="00EF4C30"/>
    <w:rsid w:val="00F0332A"/>
    <w:rsid w:val="00F0440B"/>
    <w:rsid w:val="00F059DC"/>
    <w:rsid w:val="00F065DC"/>
    <w:rsid w:val="00F0668C"/>
    <w:rsid w:val="00F068F8"/>
    <w:rsid w:val="00F11BB5"/>
    <w:rsid w:val="00F1201B"/>
    <w:rsid w:val="00F126CE"/>
    <w:rsid w:val="00F12972"/>
    <w:rsid w:val="00F1417B"/>
    <w:rsid w:val="00F145EC"/>
    <w:rsid w:val="00F14D75"/>
    <w:rsid w:val="00F15E08"/>
    <w:rsid w:val="00F15E19"/>
    <w:rsid w:val="00F201DE"/>
    <w:rsid w:val="00F20672"/>
    <w:rsid w:val="00F22A03"/>
    <w:rsid w:val="00F235AF"/>
    <w:rsid w:val="00F259B2"/>
    <w:rsid w:val="00F26BBA"/>
    <w:rsid w:val="00F2737D"/>
    <w:rsid w:val="00F308EE"/>
    <w:rsid w:val="00F3099B"/>
    <w:rsid w:val="00F321FE"/>
    <w:rsid w:val="00F33D68"/>
    <w:rsid w:val="00F34B99"/>
    <w:rsid w:val="00F36604"/>
    <w:rsid w:val="00F375A0"/>
    <w:rsid w:val="00F37822"/>
    <w:rsid w:val="00F4052F"/>
    <w:rsid w:val="00F42719"/>
    <w:rsid w:val="00F43198"/>
    <w:rsid w:val="00F44160"/>
    <w:rsid w:val="00F44800"/>
    <w:rsid w:val="00F4515B"/>
    <w:rsid w:val="00F45210"/>
    <w:rsid w:val="00F45A07"/>
    <w:rsid w:val="00F51A73"/>
    <w:rsid w:val="00F51DAC"/>
    <w:rsid w:val="00F52674"/>
    <w:rsid w:val="00F52DAB"/>
    <w:rsid w:val="00F5395A"/>
    <w:rsid w:val="00F543F0"/>
    <w:rsid w:val="00F54AA9"/>
    <w:rsid w:val="00F54F5D"/>
    <w:rsid w:val="00F56308"/>
    <w:rsid w:val="00F57DD5"/>
    <w:rsid w:val="00F6034F"/>
    <w:rsid w:val="00F6369D"/>
    <w:rsid w:val="00F665A2"/>
    <w:rsid w:val="00F668CC"/>
    <w:rsid w:val="00F676C3"/>
    <w:rsid w:val="00F67A2B"/>
    <w:rsid w:val="00F7000C"/>
    <w:rsid w:val="00F70F0F"/>
    <w:rsid w:val="00F735A7"/>
    <w:rsid w:val="00F77D59"/>
    <w:rsid w:val="00F81D29"/>
    <w:rsid w:val="00F82AB4"/>
    <w:rsid w:val="00F82C96"/>
    <w:rsid w:val="00F82F1A"/>
    <w:rsid w:val="00F86B91"/>
    <w:rsid w:val="00F90109"/>
    <w:rsid w:val="00F91C4D"/>
    <w:rsid w:val="00F921E7"/>
    <w:rsid w:val="00F92FD9"/>
    <w:rsid w:val="00F93B49"/>
    <w:rsid w:val="00F95B4C"/>
    <w:rsid w:val="00F960D6"/>
    <w:rsid w:val="00F975A7"/>
    <w:rsid w:val="00FA029B"/>
    <w:rsid w:val="00FA063A"/>
    <w:rsid w:val="00FA0872"/>
    <w:rsid w:val="00FA348B"/>
    <w:rsid w:val="00FA4363"/>
    <w:rsid w:val="00FA4D55"/>
    <w:rsid w:val="00FA6684"/>
    <w:rsid w:val="00FA731E"/>
    <w:rsid w:val="00FB15BF"/>
    <w:rsid w:val="00FB2B38"/>
    <w:rsid w:val="00FB58C9"/>
    <w:rsid w:val="00FB5B3C"/>
    <w:rsid w:val="00FC1060"/>
    <w:rsid w:val="00FC1727"/>
    <w:rsid w:val="00FC1D33"/>
    <w:rsid w:val="00FC20D3"/>
    <w:rsid w:val="00FC2DEB"/>
    <w:rsid w:val="00FC3C7A"/>
    <w:rsid w:val="00FC4312"/>
    <w:rsid w:val="00FC6358"/>
    <w:rsid w:val="00FD02D6"/>
    <w:rsid w:val="00FD142D"/>
    <w:rsid w:val="00FD320D"/>
    <w:rsid w:val="00FD6750"/>
    <w:rsid w:val="00FD6984"/>
    <w:rsid w:val="00FD77BE"/>
    <w:rsid w:val="00FE0C50"/>
    <w:rsid w:val="00FE0D51"/>
    <w:rsid w:val="00FE19F9"/>
    <w:rsid w:val="00FE23DE"/>
    <w:rsid w:val="00FE2E28"/>
    <w:rsid w:val="00FE532E"/>
    <w:rsid w:val="00FF028A"/>
    <w:rsid w:val="00FF0669"/>
    <w:rsid w:val="00FF06C8"/>
    <w:rsid w:val="00FF6836"/>
    <w:rsid w:val="014D56CA"/>
    <w:rsid w:val="05364AFB"/>
    <w:rsid w:val="0B427EFE"/>
    <w:rsid w:val="0CFB0B5E"/>
    <w:rsid w:val="0F1E5649"/>
    <w:rsid w:val="126F6B43"/>
    <w:rsid w:val="164B7B82"/>
    <w:rsid w:val="1C386E9A"/>
    <w:rsid w:val="1CF40CBC"/>
    <w:rsid w:val="1D6F3205"/>
    <w:rsid w:val="21F669FD"/>
    <w:rsid w:val="22EE7610"/>
    <w:rsid w:val="23BC7640"/>
    <w:rsid w:val="26A76454"/>
    <w:rsid w:val="28E13B9A"/>
    <w:rsid w:val="29BF7428"/>
    <w:rsid w:val="2B172B8F"/>
    <w:rsid w:val="37DF17C6"/>
    <w:rsid w:val="3ECC34ED"/>
    <w:rsid w:val="40B40BE4"/>
    <w:rsid w:val="455B3014"/>
    <w:rsid w:val="48FC0CE1"/>
    <w:rsid w:val="4B65607E"/>
    <w:rsid w:val="4B6978CC"/>
    <w:rsid w:val="4C1C258A"/>
    <w:rsid w:val="4FB86C6F"/>
    <w:rsid w:val="507772FB"/>
    <w:rsid w:val="516A49BD"/>
    <w:rsid w:val="519769E0"/>
    <w:rsid w:val="52913E5E"/>
    <w:rsid w:val="595474C6"/>
    <w:rsid w:val="5A927EE9"/>
    <w:rsid w:val="5AB1246E"/>
    <w:rsid w:val="5AEF59AA"/>
    <w:rsid w:val="5B6A2289"/>
    <w:rsid w:val="5D370A98"/>
    <w:rsid w:val="5E5F0DE7"/>
    <w:rsid w:val="659B6A92"/>
    <w:rsid w:val="67CE0D8B"/>
    <w:rsid w:val="67D87514"/>
    <w:rsid w:val="6EB07DE7"/>
    <w:rsid w:val="702E686B"/>
    <w:rsid w:val="73525FE6"/>
    <w:rsid w:val="7E4B4506"/>
    <w:rsid w:val="7E6D6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6"/>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46"/>
    <w:qFormat/>
    <w:uiPriority w:val="0"/>
    <w:pPr>
      <w:keepNext/>
      <w:keepLines/>
      <w:spacing w:before="260" w:after="260" w:line="416" w:lineRule="auto"/>
      <w:outlineLvl w:val="2"/>
    </w:pPr>
    <w:rPr>
      <w:b/>
      <w:bCs/>
      <w:sz w:val="32"/>
      <w:szCs w:val="32"/>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semiHidden/>
    <w:qFormat/>
    <w:uiPriority w:val="0"/>
    <w:pPr>
      <w:shd w:val="clear" w:color="auto" w:fill="000080"/>
    </w:pPr>
  </w:style>
  <w:style w:type="paragraph" w:styleId="9">
    <w:name w:val="annotation text"/>
    <w:basedOn w:val="1"/>
    <w:link w:val="47"/>
    <w:qFormat/>
    <w:uiPriority w:val="0"/>
    <w:pPr>
      <w:jc w:val="left"/>
    </w:p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Body Text"/>
    <w:basedOn w:val="1"/>
    <w:link w:val="160"/>
    <w:unhideWhenUsed/>
    <w:qFormat/>
    <w:uiPriority w:val="99"/>
    <w:pPr>
      <w:widowControl/>
      <w:kinsoku w:val="0"/>
      <w:autoSpaceDE w:val="0"/>
      <w:autoSpaceDN w:val="0"/>
      <w:adjustRightInd w:val="0"/>
      <w:snapToGrid w:val="0"/>
      <w:jc w:val="left"/>
      <w:textAlignment w:val="baseline"/>
    </w:pPr>
    <w:rPr>
      <w:rFonts w:ascii="宋体" w:hAnsi="宋体" w:cs="宋体"/>
      <w:color w:val="000000"/>
      <w:kern w:val="0"/>
      <w:sz w:val="28"/>
      <w:szCs w:val="28"/>
    </w:rPr>
  </w:style>
  <w:style w:type="paragraph" w:styleId="12">
    <w:name w:val="index 4"/>
    <w:basedOn w:val="1"/>
    <w:next w:val="1"/>
    <w:qFormat/>
    <w:uiPriority w:val="0"/>
    <w:pPr>
      <w:ind w:left="840" w:hanging="210"/>
      <w:jc w:val="left"/>
    </w:pPr>
    <w:rPr>
      <w:rFonts w:ascii="Calibri" w:hAnsi="Calibri"/>
      <w:sz w:val="20"/>
      <w:szCs w:val="20"/>
    </w:rPr>
  </w:style>
  <w:style w:type="paragraph" w:styleId="13">
    <w:name w:val="toc 5"/>
    <w:basedOn w:val="1"/>
    <w:next w:val="1"/>
    <w:semiHidden/>
    <w:qFormat/>
    <w:uiPriority w:val="0"/>
    <w:pPr>
      <w:tabs>
        <w:tab w:val="right" w:leader="dot" w:pos="9241"/>
      </w:tabs>
      <w:ind w:firstLine="300" w:firstLineChars="300"/>
      <w:jc w:val="left"/>
    </w:pPr>
    <w:rPr>
      <w:rFonts w:ascii="宋体"/>
      <w:szCs w:val="21"/>
    </w:rPr>
  </w:style>
  <w:style w:type="paragraph" w:styleId="14">
    <w:name w:val="toc 3"/>
    <w:basedOn w:val="1"/>
    <w:next w:val="1"/>
    <w:qFormat/>
    <w:uiPriority w:val="39"/>
    <w:pPr>
      <w:tabs>
        <w:tab w:val="right" w:leader="dot" w:pos="9241"/>
      </w:tabs>
      <w:ind w:firstLine="102" w:firstLineChars="100"/>
      <w:jc w:val="left"/>
    </w:pPr>
    <w:rPr>
      <w:rFonts w:ascii="宋体"/>
      <w:szCs w:val="21"/>
    </w:rPr>
  </w:style>
  <w:style w:type="paragraph" w:styleId="15">
    <w:name w:val="toc 8"/>
    <w:basedOn w:val="1"/>
    <w:next w:val="1"/>
    <w:semiHidden/>
    <w:qFormat/>
    <w:uiPriority w:val="0"/>
    <w:pPr>
      <w:tabs>
        <w:tab w:val="right" w:leader="dot" w:pos="9241"/>
      </w:tabs>
      <w:ind w:firstLine="607" w:firstLineChars="600"/>
      <w:jc w:val="left"/>
    </w:pPr>
    <w:rPr>
      <w:rFonts w:ascii="宋体"/>
      <w:szCs w:val="21"/>
    </w:rPr>
  </w:style>
  <w:style w:type="paragraph" w:styleId="16">
    <w:name w:val="index 3"/>
    <w:basedOn w:val="1"/>
    <w:next w:val="1"/>
    <w:qFormat/>
    <w:uiPriority w:val="0"/>
    <w:pPr>
      <w:ind w:left="630" w:hanging="210"/>
      <w:jc w:val="left"/>
    </w:pPr>
    <w:rPr>
      <w:rFonts w:ascii="Calibri" w:hAnsi="Calibri"/>
      <w:sz w:val="20"/>
      <w:szCs w:val="20"/>
    </w:rPr>
  </w:style>
  <w:style w:type="paragraph" w:styleId="17">
    <w:name w:val="Date"/>
    <w:basedOn w:val="1"/>
    <w:next w:val="1"/>
    <w:link w:val="48"/>
    <w:qFormat/>
    <w:uiPriority w:val="0"/>
    <w:pPr>
      <w:ind w:left="100" w:leftChars="2500"/>
    </w:pPr>
  </w:style>
  <w:style w:type="paragraph" w:styleId="18">
    <w:name w:val="endnote text"/>
    <w:basedOn w:val="1"/>
    <w:semiHidden/>
    <w:qFormat/>
    <w:uiPriority w:val="0"/>
    <w:pPr>
      <w:snapToGrid w:val="0"/>
      <w:jc w:val="left"/>
    </w:pPr>
  </w:style>
  <w:style w:type="paragraph" w:styleId="19">
    <w:name w:val="Balloon Text"/>
    <w:basedOn w:val="1"/>
    <w:link w:val="49"/>
    <w:qFormat/>
    <w:uiPriority w:val="0"/>
    <w:rPr>
      <w:sz w:val="18"/>
      <w:szCs w:val="18"/>
    </w:rPr>
  </w:style>
  <w:style w:type="paragraph" w:styleId="20">
    <w:name w:val="footer"/>
    <w:basedOn w:val="1"/>
    <w:link w:val="158"/>
    <w:qFormat/>
    <w:uiPriority w:val="99"/>
    <w:pPr>
      <w:snapToGrid w:val="0"/>
      <w:ind w:right="210" w:rightChars="100"/>
      <w:jc w:val="right"/>
    </w:pPr>
    <w:rPr>
      <w:sz w:val="18"/>
      <w:szCs w:val="18"/>
    </w:rPr>
  </w:style>
  <w:style w:type="paragraph" w:styleId="21">
    <w:name w:val="header"/>
    <w:basedOn w:val="1"/>
    <w:qFormat/>
    <w:uiPriority w:val="0"/>
    <w:pPr>
      <w:snapToGrid w:val="0"/>
      <w:jc w:val="left"/>
    </w:pPr>
    <w:rPr>
      <w:sz w:val="18"/>
      <w:szCs w:val="18"/>
    </w:rPr>
  </w:style>
  <w:style w:type="paragraph" w:styleId="22">
    <w:name w:val="toc 1"/>
    <w:basedOn w:val="1"/>
    <w:next w:val="1"/>
    <w:qFormat/>
    <w:uiPriority w:val="39"/>
    <w:pPr>
      <w:tabs>
        <w:tab w:val="right" w:leader="dot" w:pos="9241"/>
      </w:tabs>
      <w:spacing w:beforeLines="25" w:afterLines="25"/>
      <w:jc w:val="left"/>
    </w:pPr>
    <w:rPr>
      <w:rFonts w:ascii="宋体"/>
      <w:szCs w:val="21"/>
    </w:rPr>
  </w:style>
  <w:style w:type="paragraph" w:styleId="23">
    <w:name w:val="toc 4"/>
    <w:basedOn w:val="1"/>
    <w:next w:val="1"/>
    <w:semiHidden/>
    <w:qFormat/>
    <w:uiPriority w:val="0"/>
    <w:pPr>
      <w:tabs>
        <w:tab w:val="right" w:leader="dot" w:pos="9241"/>
      </w:tabs>
      <w:ind w:firstLine="198" w:firstLineChars="200"/>
      <w:jc w:val="left"/>
    </w:pPr>
    <w:rPr>
      <w:rFonts w:ascii="宋体"/>
      <w:szCs w:val="21"/>
    </w:rPr>
  </w:style>
  <w:style w:type="paragraph" w:styleId="24">
    <w:name w:val="index heading"/>
    <w:basedOn w:val="1"/>
    <w:next w:val="25"/>
    <w:qFormat/>
    <w:uiPriority w:val="0"/>
    <w:pPr>
      <w:spacing w:before="120" w:after="120"/>
      <w:jc w:val="center"/>
    </w:pPr>
    <w:rPr>
      <w:rFonts w:ascii="Calibri" w:hAnsi="Calibri"/>
      <w:b/>
      <w:bCs/>
      <w:iCs/>
      <w:szCs w:val="20"/>
    </w:rPr>
  </w:style>
  <w:style w:type="paragraph" w:styleId="25">
    <w:name w:val="index 1"/>
    <w:basedOn w:val="1"/>
    <w:next w:val="26"/>
    <w:qFormat/>
    <w:uiPriority w:val="0"/>
    <w:pPr>
      <w:tabs>
        <w:tab w:val="right" w:leader="dot" w:pos="9299"/>
      </w:tabs>
      <w:jc w:val="left"/>
    </w:pPr>
    <w:rPr>
      <w:rFonts w:ascii="宋体"/>
      <w:szCs w:val="21"/>
    </w:rPr>
  </w:style>
  <w:style w:type="paragraph" w:customStyle="1" w:styleId="26">
    <w:name w:val="段"/>
    <w:link w:val="50"/>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7">
    <w:name w:val="footnote text"/>
    <w:basedOn w:val="1"/>
    <w:qFormat/>
    <w:uiPriority w:val="0"/>
    <w:pPr>
      <w:numPr>
        <w:ilvl w:val="0"/>
        <w:numId w:val="1"/>
      </w:numPr>
      <w:snapToGrid w:val="0"/>
      <w:jc w:val="left"/>
    </w:pPr>
    <w:rPr>
      <w:rFonts w:ascii="宋体"/>
      <w:sz w:val="18"/>
      <w:szCs w:val="18"/>
    </w:rPr>
  </w:style>
  <w:style w:type="paragraph" w:styleId="28">
    <w:name w:val="toc 6"/>
    <w:basedOn w:val="1"/>
    <w:next w:val="1"/>
    <w:semiHidden/>
    <w:qFormat/>
    <w:uiPriority w:val="0"/>
    <w:pPr>
      <w:tabs>
        <w:tab w:val="right" w:leader="dot" w:pos="9241"/>
      </w:tabs>
      <w:ind w:firstLine="403" w:firstLineChars="400"/>
      <w:jc w:val="left"/>
    </w:pPr>
    <w:rPr>
      <w:rFonts w:ascii="宋体"/>
      <w:szCs w:val="21"/>
    </w:rPr>
  </w:style>
  <w:style w:type="paragraph" w:styleId="29">
    <w:name w:val="index 7"/>
    <w:basedOn w:val="1"/>
    <w:next w:val="1"/>
    <w:qFormat/>
    <w:uiPriority w:val="0"/>
    <w:pPr>
      <w:ind w:left="1470" w:hanging="210"/>
      <w:jc w:val="left"/>
    </w:pPr>
    <w:rPr>
      <w:rFonts w:ascii="Calibri" w:hAnsi="Calibri"/>
      <w:sz w:val="20"/>
      <w:szCs w:val="20"/>
    </w:rPr>
  </w:style>
  <w:style w:type="paragraph" w:styleId="30">
    <w:name w:val="index 9"/>
    <w:basedOn w:val="1"/>
    <w:next w:val="1"/>
    <w:qFormat/>
    <w:uiPriority w:val="0"/>
    <w:pPr>
      <w:ind w:left="1890" w:hanging="210"/>
      <w:jc w:val="left"/>
    </w:pPr>
    <w:rPr>
      <w:rFonts w:ascii="Calibri" w:hAnsi="Calibri"/>
      <w:sz w:val="20"/>
      <w:szCs w:val="20"/>
    </w:rPr>
  </w:style>
  <w:style w:type="paragraph" w:styleId="31">
    <w:name w:val="toc 2"/>
    <w:basedOn w:val="1"/>
    <w:next w:val="1"/>
    <w:qFormat/>
    <w:uiPriority w:val="39"/>
    <w:pPr>
      <w:tabs>
        <w:tab w:val="right" w:leader="dot" w:pos="9241"/>
      </w:tabs>
    </w:pPr>
    <w:rPr>
      <w:rFonts w:ascii="宋体"/>
      <w:szCs w:val="21"/>
    </w:rPr>
  </w:style>
  <w:style w:type="paragraph" w:styleId="32">
    <w:name w:val="toc 9"/>
    <w:basedOn w:val="1"/>
    <w:next w:val="1"/>
    <w:semiHidden/>
    <w:qFormat/>
    <w:uiPriority w:val="0"/>
    <w:pPr>
      <w:ind w:left="1470"/>
      <w:jc w:val="left"/>
    </w:pPr>
    <w:rPr>
      <w:sz w:val="20"/>
      <w:szCs w:val="20"/>
    </w:rPr>
  </w:style>
  <w:style w:type="paragraph" w:styleId="33">
    <w:name w:val="index 2"/>
    <w:basedOn w:val="1"/>
    <w:next w:val="1"/>
    <w:qFormat/>
    <w:uiPriority w:val="0"/>
    <w:pPr>
      <w:ind w:left="420" w:hanging="210"/>
      <w:jc w:val="left"/>
    </w:pPr>
    <w:rPr>
      <w:rFonts w:ascii="Calibri" w:hAnsi="Calibri"/>
      <w:sz w:val="20"/>
      <w:szCs w:val="20"/>
    </w:rPr>
  </w:style>
  <w:style w:type="paragraph" w:styleId="34">
    <w:name w:val="annotation subject"/>
    <w:basedOn w:val="9"/>
    <w:next w:val="9"/>
    <w:link w:val="153"/>
    <w:qFormat/>
    <w:uiPriority w:val="0"/>
    <w:rPr>
      <w:b/>
      <w:bCs/>
    </w:rPr>
  </w:style>
  <w:style w:type="table" w:styleId="36">
    <w:name w:val="Table Grid"/>
    <w:basedOn w:val="35"/>
    <w:qFormat/>
    <w:uiPriority w:val="3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Strong"/>
    <w:qFormat/>
    <w:uiPriority w:val="0"/>
    <w:rPr>
      <w:b/>
    </w:rPr>
  </w:style>
  <w:style w:type="character" w:styleId="39">
    <w:name w:val="endnote reference"/>
    <w:semiHidden/>
    <w:qFormat/>
    <w:uiPriority w:val="0"/>
    <w:rPr>
      <w:vertAlign w:val="superscript"/>
    </w:rPr>
  </w:style>
  <w:style w:type="character" w:styleId="40">
    <w:name w:val="page number"/>
    <w:qFormat/>
    <w:uiPriority w:val="0"/>
    <w:rPr>
      <w:rFonts w:ascii="Times New Roman" w:hAnsi="Times New Roman" w:eastAsia="宋体"/>
      <w:sz w:val="18"/>
    </w:rPr>
  </w:style>
  <w:style w:type="character" w:styleId="41">
    <w:name w:val="FollowedHyperlink"/>
    <w:qFormat/>
    <w:uiPriority w:val="0"/>
    <w:rPr>
      <w:color w:val="800080"/>
      <w:u w:val="single"/>
    </w:rPr>
  </w:style>
  <w:style w:type="character" w:styleId="42">
    <w:name w:val="Emphasis"/>
    <w:qFormat/>
    <w:uiPriority w:val="20"/>
    <w:rPr>
      <w:i/>
      <w:iCs/>
    </w:rPr>
  </w:style>
  <w:style w:type="character" w:styleId="43">
    <w:name w:val="Hyperlink"/>
    <w:qFormat/>
    <w:uiPriority w:val="99"/>
    <w:rPr>
      <w:color w:val="0000FF"/>
      <w:spacing w:val="0"/>
      <w:w w:val="100"/>
      <w:szCs w:val="21"/>
      <w:u w:val="single"/>
      <w:lang w:val="en-US" w:eastAsia="zh-CN"/>
    </w:rPr>
  </w:style>
  <w:style w:type="character" w:styleId="44">
    <w:name w:val="annotation reference"/>
    <w:qFormat/>
    <w:uiPriority w:val="0"/>
    <w:rPr>
      <w:sz w:val="21"/>
      <w:szCs w:val="21"/>
    </w:rPr>
  </w:style>
  <w:style w:type="character" w:styleId="45">
    <w:name w:val="footnote reference"/>
    <w:semiHidden/>
    <w:qFormat/>
    <w:uiPriority w:val="0"/>
    <w:rPr>
      <w:vertAlign w:val="superscript"/>
    </w:rPr>
  </w:style>
  <w:style w:type="character" w:customStyle="1" w:styleId="46">
    <w:name w:val="标题 3 字符"/>
    <w:link w:val="3"/>
    <w:qFormat/>
    <w:uiPriority w:val="0"/>
    <w:rPr>
      <w:b/>
      <w:bCs/>
      <w:kern w:val="2"/>
      <w:sz w:val="32"/>
      <w:szCs w:val="32"/>
    </w:rPr>
  </w:style>
  <w:style w:type="character" w:customStyle="1" w:styleId="47">
    <w:name w:val="批注文字 字符"/>
    <w:link w:val="9"/>
    <w:qFormat/>
    <w:uiPriority w:val="0"/>
    <w:rPr>
      <w:kern w:val="2"/>
      <w:sz w:val="21"/>
      <w:szCs w:val="24"/>
    </w:rPr>
  </w:style>
  <w:style w:type="character" w:customStyle="1" w:styleId="48">
    <w:name w:val="日期 字符"/>
    <w:link w:val="17"/>
    <w:qFormat/>
    <w:uiPriority w:val="0"/>
    <w:rPr>
      <w:kern w:val="2"/>
      <w:sz w:val="21"/>
      <w:szCs w:val="24"/>
    </w:rPr>
  </w:style>
  <w:style w:type="character" w:customStyle="1" w:styleId="49">
    <w:name w:val="批注框文本 字符"/>
    <w:link w:val="19"/>
    <w:qFormat/>
    <w:uiPriority w:val="0"/>
    <w:rPr>
      <w:kern w:val="2"/>
      <w:sz w:val="18"/>
      <w:szCs w:val="18"/>
    </w:rPr>
  </w:style>
  <w:style w:type="character" w:customStyle="1" w:styleId="50">
    <w:name w:val="段 Char"/>
    <w:link w:val="26"/>
    <w:qFormat/>
    <w:uiPriority w:val="0"/>
    <w:rPr>
      <w:rFonts w:ascii="宋体"/>
      <w:sz w:val="21"/>
      <w:lang w:val="en-US" w:eastAsia="zh-CN" w:bidi="ar-SA"/>
    </w:rPr>
  </w:style>
  <w:style w:type="paragraph" w:customStyle="1" w:styleId="51">
    <w:name w:val="一级条标题"/>
    <w:next w:val="26"/>
    <w:link w:val="52"/>
    <w:qFormat/>
    <w:uiPriority w:val="99"/>
    <w:pPr>
      <w:spacing w:beforeLines="50" w:afterLines="50"/>
      <w:outlineLvl w:val="2"/>
    </w:pPr>
    <w:rPr>
      <w:rFonts w:ascii="黑体" w:hAnsi="Times New Roman" w:eastAsia="黑体" w:cs="Times New Roman"/>
      <w:sz w:val="21"/>
      <w:szCs w:val="21"/>
      <w:lang w:val="en-US" w:eastAsia="zh-CN" w:bidi="ar-SA"/>
    </w:rPr>
  </w:style>
  <w:style w:type="character" w:customStyle="1" w:styleId="52">
    <w:name w:val="一级条标题 Char"/>
    <w:link w:val="51"/>
    <w:qFormat/>
    <w:uiPriority w:val="99"/>
    <w:rPr>
      <w:rFonts w:ascii="黑体" w:eastAsia="黑体"/>
      <w:sz w:val="21"/>
      <w:szCs w:val="21"/>
      <w:lang w:bidi="ar-SA"/>
    </w:rPr>
  </w:style>
  <w:style w:type="paragraph" w:customStyle="1" w:styleId="5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5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55">
    <w:name w:val="章标题"/>
    <w:next w:val="26"/>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56">
    <w:name w:val="二级条标题"/>
    <w:basedOn w:val="51"/>
    <w:next w:val="26"/>
    <w:link w:val="57"/>
    <w:qFormat/>
    <w:uiPriority w:val="99"/>
    <w:pPr>
      <w:numPr>
        <w:ilvl w:val="2"/>
        <w:numId w:val="2"/>
      </w:numPr>
      <w:spacing w:before="50" w:after="50"/>
      <w:outlineLvl w:val="3"/>
    </w:pPr>
  </w:style>
  <w:style w:type="character" w:customStyle="1" w:styleId="57">
    <w:name w:val="二级条标题 Char"/>
    <w:link w:val="56"/>
    <w:qFormat/>
    <w:uiPriority w:val="0"/>
    <w:rPr>
      <w:rFonts w:ascii="黑体" w:eastAsia="黑体"/>
      <w:sz w:val="21"/>
      <w:szCs w:val="21"/>
    </w:rPr>
  </w:style>
  <w:style w:type="paragraph" w:customStyle="1" w:styleId="5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59">
    <w:name w:val="列项——（一级）"/>
    <w:qFormat/>
    <w:uiPriority w:val="99"/>
    <w:pPr>
      <w:widowControl w:val="0"/>
      <w:numPr>
        <w:ilvl w:val="0"/>
        <w:numId w:val="3"/>
      </w:numPr>
      <w:jc w:val="both"/>
    </w:pPr>
    <w:rPr>
      <w:rFonts w:ascii="宋体" w:hAnsi="Times New Roman" w:eastAsia="宋体" w:cs="Times New Roman"/>
      <w:sz w:val="21"/>
      <w:lang w:val="en-US" w:eastAsia="zh-CN" w:bidi="ar-SA"/>
    </w:rPr>
  </w:style>
  <w:style w:type="paragraph" w:customStyle="1" w:styleId="60">
    <w:name w:val="列项●（二级）"/>
    <w:qFormat/>
    <w:uiPriority w:val="99"/>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61">
    <w:name w:val="目次、标准名称标题"/>
    <w:basedOn w:val="1"/>
    <w:next w:val="2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2">
    <w:name w:val="三级条标题"/>
    <w:basedOn w:val="56"/>
    <w:next w:val="26"/>
    <w:qFormat/>
    <w:uiPriority w:val="99"/>
    <w:pPr>
      <w:numPr>
        <w:ilvl w:val="3"/>
      </w:numPr>
      <w:outlineLvl w:val="4"/>
    </w:pPr>
  </w:style>
  <w:style w:type="paragraph" w:customStyle="1" w:styleId="63">
    <w:name w:val="示例"/>
    <w:next w:val="64"/>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64">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65">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66">
    <w:name w:val="四级条标题"/>
    <w:basedOn w:val="62"/>
    <w:next w:val="26"/>
    <w:qFormat/>
    <w:uiPriority w:val="0"/>
    <w:pPr>
      <w:numPr>
        <w:ilvl w:val="4"/>
      </w:numPr>
      <w:outlineLvl w:val="5"/>
    </w:pPr>
  </w:style>
  <w:style w:type="paragraph" w:customStyle="1" w:styleId="67">
    <w:name w:val="五级条标题"/>
    <w:basedOn w:val="66"/>
    <w:next w:val="26"/>
    <w:qFormat/>
    <w:uiPriority w:val="0"/>
    <w:pPr>
      <w:numPr>
        <w:ilvl w:val="5"/>
      </w:numPr>
      <w:outlineLvl w:val="6"/>
    </w:pPr>
  </w:style>
  <w:style w:type="paragraph" w:customStyle="1" w:styleId="68">
    <w:name w:val="注："/>
    <w:next w:val="26"/>
    <w:qFormat/>
    <w:uiPriority w:val="0"/>
    <w:pPr>
      <w:widowControl w:val="0"/>
      <w:numPr>
        <w:ilvl w:val="0"/>
        <w:numId w:val="6"/>
      </w:numPr>
      <w:autoSpaceDE w:val="0"/>
      <w:autoSpaceDN w:val="0"/>
      <w:ind w:left="1356"/>
      <w:jc w:val="both"/>
    </w:pPr>
    <w:rPr>
      <w:rFonts w:ascii="宋体" w:hAnsi="Times New Roman" w:eastAsia="宋体" w:cs="Times New Roman"/>
      <w:sz w:val="18"/>
      <w:szCs w:val="18"/>
      <w:lang w:val="en-US" w:eastAsia="zh-CN" w:bidi="ar-SA"/>
    </w:rPr>
  </w:style>
  <w:style w:type="paragraph" w:customStyle="1" w:styleId="69">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70">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71">
    <w:name w:val="列项◆（三级）"/>
    <w:basedOn w:val="1"/>
    <w:qFormat/>
    <w:uiPriority w:val="99"/>
    <w:pPr>
      <w:numPr>
        <w:ilvl w:val="2"/>
        <w:numId w:val="3"/>
      </w:numPr>
    </w:pPr>
    <w:rPr>
      <w:rFonts w:ascii="宋体"/>
      <w:szCs w:val="21"/>
    </w:rPr>
  </w:style>
  <w:style w:type="paragraph" w:customStyle="1" w:styleId="72">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73">
    <w:name w:val="示例×："/>
    <w:basedOn w:val="55"/>
    <w:qFormat/>
    <w:uiPriority w:val="0"/>
    <w:pPr>
      <w:numPr>
        <w:ilvl w:val="0"/>
        <w:numId w:val="8"/>
      </w:numPr>
      <w:spacing w:beforeLines="0" w:afterLines="0"/>
      <w:outlineLvl w:val="9"/>
    </w:pPr>
    <w:rPr>
      <w:rFonts w:ascii="宋体" w:eastAsia="宋体"/>
      <w:sz w:val="18"/>
      <w:szCs w:val="18"/>
    </w:rPr>
  </w:style>
  <w:style w:type="paragraph" w:customStyle="1" w:styleId="74">
    <w:name w:val="二级无"/>
    <w:basedOn w:val="56"/>
    <w:qFormat/>
    <w:uiPriority w:val="0"/>
    <w:pPr>
      <w:spacing w:beforeLines="0" w:afterLines="0"/>
    </w:pPr>
    <w:rPr>
      <w:rFonts w:ascii="宋体" w:eastAsia="宋体"/>
    </w:rPr>
  </w:style>
  <w:style w:type="paragraph" w:customStyle="1" w:styleId="75">
    <w:name w:val="注：（正文）"/>
    <w:basedOn w:val="68"/>
    <w:next w:val="26"/>
    <w:qFormat/>
    <w:uiPriority w:val="0"/>
  </w:style>
  <w:style w:type="paragraph" w:customStyle="1" w:styleId="76">
    <w:name w:val="注×：（正文）"/>
    <w:qFormat/>
    <w:uiPriority w:val="99"/>
    <w:pPr>
      <w:numPr>
        <w:ilvl w:val="0"/>
        <w:numId w:val="9"/>
      </w:numPr>
      <w:jc w:val="both"/>
    </w:pPr>
    <w:rPr>
      <w:rFonts w:ascii="宋体" w:hAnsi="Times New Roman" w:eastAsia="宋体" w:cs="Times New Roman"/>
      <w:sz w:val="18"/>
      <w:szCs w:val="18"/>
      <w:lang w:val="en-US" w:eastAsia="zh-CN" w:bidi="ar-SA"/>
    </w:rPr>
  </w:style>
  <w:style w:type="paragraph" w:customStyle="1" w:styleId="7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78">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79">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0">
    <w:name w:val="标准书眉_偶数页"/>
    <w:basedOn w:val="54"/>
    <w:next w:val="1"/>
    <w:qFormat/>
    <w:uiPriority w:val="0"/>
    <w:pPr>
      <w:jc w:val="left"/>
    </w:pPr>
  </w:style>
  <w:style w:type="paragraph" w:customStyle="1" w:styleId="81">
    <w:name w:val="标准书眉一"/>
    <w:qFormat/>
    <w:uiPriority w:val="0"/>
    <w:pPr>
      <w:jc w:val="both"/>
    </w:pPr>
    <w:rPr>
      <w:rFonts w:ascii="Times New Roman" w:hAnsi="Times New Roman" w:eastAsia="宋体" w:cs="Times New Roman"/>
      <w:lang w:val="en-US" w:eastAsia="zh-CN" w:bidi="ar-SA"/>
    </w:rPr>
  </w:style>
  <w:style w:type="paragraph" w:customStyle="1" w:styleId="82">
    <w:name w:val="参考文献"/>
    <w:basedOn w:val="1"/>
    <w:next w:val="2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83">
    <w:name w:val="参考文献、索引标题"/>
    <w:basedOn w:val="1"/>
    <w:next w:val="26"/>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84">
    <w:name w:val="发布"/>
    <w:qFormat/>
    <w:uiPriority w:val="0"/>
    <w:rPr>
      <w:rFonts w:ascii="黑体" w:eastAsia="黑体"/>
      <w:spacing w:val="85"/>
      <w:w w:val="100"/>
      <w:position w:val="3"/>
      <w:sz w:val="28"/>
      <w:szCs w:val="28"/>
    </w:rPr>
  </w:style>
  <w:style w:type="paragraph" w:customStyle="1" w:styleId="85">
    <w:name w:val="发布部门"/>
    <w:next w:val="26"/>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86">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87">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8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8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90">
    <w:name w:val="封面标准英文名称"/>
    <w:basedOn w:val="89"/>
    <w:qFormat/>
    <w:uiPriority w:val="0"/>
    <w:pPr>
      <w:framePr w:wrap="around"/>
      <w:spacing w:before="370" w:line="400" w:lineRule="exact"/>
    </w:pPr>
    <w:rPr>
      <w:rFonts w:ascii="Times New Roman"/>
      <w:sz w:val="28"/>
      <w:szCs w:val="28"/>
    </w:rPr>
  </w:style>
  <w:style w:type="paragraph" w:customStyle="1" w:styleId="91">
    <w:name w:val="封面一致性程度标识"/>
    <w:basedOn w:val="90"/>
    <w:qFormat/>
    <w:uiPriority w:val="0"/>
    <w:pPr>
      <w:framePr w:wrap="around"/>
      <w:spacing w:before="440"/>
    </w:pPr>
    <w:rPr>
      <w:rFonts w:ascii="宋体" w:eastAsia="宋体"/>
    </w:rPr>
  </w:style>
  <w:style w:type="paragraph" w:customStyle="1" w:styleId="92">
    <w:name w:val="封面标准文稿类别"/>
    <w:basedOn w:val="91"/>
    <w:qFormat/>
    <w:uiPriority w:val="0"/>
    <w:pPr>
      <w:framePr w:wrap="around"/>
      <w:spacing w:after="160" w:line="240" w:lineRule="auto"/>
    </w:pPr>
    <w:rPr>
      <w:sz w:val="24"/>
    </w:rPr>
  </w:style>
  <w:style w:type="paragraph" w:customStyle="1" w:styleId="93">
    <w:name w:val="封面标准文稿编辑信息"/>
    <w:basedOn w:val="92"/>
    <w:qFormat/>
    <w:uiPriority w:val="0"/>
    <w:pPr>
      <w:framePr w:wrap="around"/>
      <w:spacing w:before="180" w:line="180" w:lineRule="exact"/>
    </w:pPr>
    <w:rPr>
      <w:sz w:val="21"/>
    </w:rPr>
  </w:style>
  <w:style w:type="paragraph" w:customStyle="1" w:styleId="94">
    <w:name w:val="封面正文"/>
    <w:qFormat/>
    <w:uiPriority w:val="0"/>
    <w:pPr>
      <w:jc w:val="both"/>
    </w:pPr>
    <w:rPr>
      <w:rFonts w:ascii="Times New Roman" w:hAnsi="Times New Roman" w:eastAsia="宋体" w:cs="Times New Roman"/>
      <w:lang w:val="en-US" w:eastAsia="zh-CN" w:bidi="ar-SA"/>
    </w:rPr>
  </w:style>
  <w:style w:type="paragraph" w:customStyle="1" w:styleId="95">
    <w:name w:val="附录标识"/>
    <w:basedOn w:val="1"/>
    <w:next w:val="26"/>
    <w:qFormat/>
    <w:uiPriority w:val="0"/>
    <w:pPr>
      <w:keepNext/>
      <w:widowControl/>
      <w:numPr>
        <w:ilvl w:val="0"/>
        <w:numId w:val="10"/>
      </w:numPr>
      <w:shd w:val="clear" w:color="FFFFFF" w:fill="FFFFFF"/>
      <w:tabs>
        <w:tab w:val="left" w:pos="6405"/>
      </w:tabs>
      <w:spacing w:before="640" w:after="280"/>
      <w:jc w:val="center"/>
      <w:outlineLvl w:val="0"/>
    </w:pPr>
    <w:rPr>
      <w:rFonts w:ascii="黑体" w:eastAsia="黑体"/>
      <w:kern w:val="0"/>
      <w:szCs w:val="20"/>
    </w:rPr>
  </w:style>
  <w:style w:type="paragraph" w:customStyle="1" w:styleId="96">
    <w:name w:val="附录标题"/>
    <w:basedOn w:val="26"/>
    <w:next w:val="26"/>
    <w:qFormat/>
    <w:uiPriority w:val="0"/>
    <w:pPr>
      <w:ind w:firstLine="0" w:firstLineChars="0"/>
      <w:jc w:val="center"/>
    </w:pPr>
    <w:rPr>
      <w:rFonts w:ascii="黑体" w:eastAsia="黑体"/>
    </w:rPr>
  </w:style>
  <w:style w:type="paragraph" w:customStyle="1" w:styleId="97">
    <w:name w:val="附录表标号"/>
    <w:basedOn w:val="1"/>
    <w:next w:val="26"/>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98">
    <w:name w:val="附录表标题"/>
    <w:basedOn w:val="1"/>
    <w:next w:val="26"/>
    <w:qFormat/>
    <w:uiPriority w:val="0"/>
    <w:pPr>
      <w:numPr>
        <w:ilvl w:val="1"/>
        <w:numId w:val="11"/>
      </w:numPr>
      <w:spacing w:beforeLines="50" w:afterLines="50"/>
      <w:jc w:val="center"/>
    </w:pPr>
    <w:rPr>
      <w:rFonts w:ascii="黑体" w:eastAsia="黑体"/>
      <w:szCs w:val="21"/>
    </w:rPr>
  </w:style>
  <w:style w:type="paragraph" w:customStyle="1" w:styleId="99">
    <w:name w:val="附录二级条标题"/>
    <w:basedOn w:val="1"/>
    <w:next w:val="26"/>
    <w:qFormat/>
    <w:uiPriority w:val="0"/>
    <w:pPr>
      <w:widowControl/>
      <w:numPr>
        <w:ilvl w:val="3"/>
        <w:numId w:val="10"/>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100">
    <w:name w:val="附录二级无"/>
    <w:basedOn w:val="99"/>
    <w:qFormat/>
    <w:uiPriority w:val="0"/>
    <w:pPr>
      <w:spacing w:beforeLines="0" w:afterLines="0"/>
    </w:pPr>
    <w:rPr>
      <w:rFonts w:ascii="宋体" w:eastAsia="宋体"/>
      <w:szCs w:val="21"/>
    </w:rPr>
  </w:style>
  <w:style w:type="paragraph" w:customStyle="1" w:styleId="101">
    <w:name w:val="附录公式"/>
    <w:basedOn w:val="26"/>
    <w:next w:val="26"/>
    <w:link w:val="102"/>
    <w:qFormat/>
    <w:uiPriority w:val="0"/>
  </w:style>
  <w:style w:type="character" w:customStyle="1" w:styleId="102">
    <w:name w:val="附录公式 Char"/>
    <w:link w:val="101"/>
    <w:qFormat/>
    <w:uiPriority w:val="0"/>
    <w:rPr>
      <w:lang w:val="en-US" w:eastAsia="zh-CN" w:bidi="ar-SA"/>
    </w:rPr>
  </w:style>
  <w:style w:type="paragraph" w:customStyle="1" w:styleId="103">
    <w:name w:val="附录公式编号制表符"/>
    <w:basedOn w:val="1"/>
    <w:next w:val="26"/>
    <w:qFormat/>
    <w:uiPriority w:val="0"/>
    <w:pPr>
      <w:widowControl/>
      <w:tabs>
        <w:tab w:val="center" w:pos="4201"/>
        <w:tab w:val="right" w:leader="dot" w:pos="9298"/>
      </w:tabs>
      <w:autoSpaceDE w:val="0"/>
      <w:autoSpaceDN w:val="0"/>
    </w:pPr>
    <w:rPr>
      <w:rFonts w:ascii="宋体"/>
      <w:kern w:val="0"/>
      <w:szCs w:val="20"/>
    </w:rPr>
  </w:style>
  <w:style w:type="paragraph" w:customStyle="1" w:styleId="104">
    <w:name w:val="附录三级条标题"/>
    <w:basedOn w:val="99"/>
    <w:next w:val="26"/>
    <w:qFormat/>
    <w:uiPriority w:val="0"/>
    <w:pPr>
      <w:numPr>
        <w:ilvl w:val="4"/>
      </w:numPr>
      <w:outlineLvl w:val="4"/>
    </w:pPr>
  </w:style>
  <w:style w:type="paragraph" w:customStyle="1" w:styleId="105">
    <w:name w:val="附录三级无"/>
    <w:basedOn w:val="104"/>
    <w:qFormat/>
    <w:uiPriority w:val="0"/>
    <w:pPr>
      <w:spacing w:beforeLines="0" w:afterLines="0"/>
    </w:pPr>
    <w:rPr>
      <w:rFonts w:ascii="宋体" w:eastAsia="宋体"/>
      <w:szCs w:val="21"/>
    </w:rPr>
  </w:style>
  <w:style w:type="paragraph" w:customStyle="1" w:styleId="106">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07">
    <w:name w:val="附录四级条标题"/>
    <w:basedOn w:val="104"/>
    <w:next w:val="26"/>
    <w:qFormat/>
    <w:uiPriority w:val="0"/>
    <w:pPr>
      <w:numPr>
        <w:ilvl w:val="5"/>
      </w:numPr>
      <w:outlineLvl w:val="5"/>
    </w:pPr>
  </w:style>
  <w:style w:type="paragraph" w:customStyle="1" w:styleId="108">
    <w:name w:val="附录四级无"/>
    <w:basedOn w:val="107"/>
    <w:qFormat/>
    <w:uiPriority w:val="0"/>
    <w:pPr>
      <w:spacing w:beforeLines="0" w:afterLines="0"/>
    </w:pPr>
    <w:rPr>
      <w:rFonts w:ascii="宋体" w:eastAsia="宋体"/>
      <w:szCs w:val="21"/>
    </w:rPr>
  </w:style>
  <w:style w:type="paragraph" w:customStyle="1" w:styleId="109">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10">
    <w:name w:val="附录图标题"/>
    <w:basedOn w:val="1"/>
    <w:next w:val="26"/>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111">
    <w:name w:val="附录五级条标题"/>
    <w:basedOn w:val="107"/>
    <w:next w:val="26"/>
    <w:qFormat/>
    <w:uiPriority w:val="0"/>
    <w:pPr>
      <w:numPr>
        <w:ilvl w:val="6"/>
      </w:numPr>
      <w:tabs>
        <w:tab w:val="left" w:pos="360"/>
      </w:tabs>
      <w:outlineLvl w:val="6"/>
    </w:pPr>
  </w:style>
  <w:style w:type="paragraph" w:customStyle="1" w:styleId="112">
    <w:name w:val="附录五级无"/>
    <w:basedOn w:val="111"/>
    <w:qFormat/>
    <w:uiPriority w:val="0"/>
    <w:pPr>
      <w:tabs>
        <w:tab w:val="clear" w:pos="360"/>
      </w:tabs>
      <w:spacing w:beforeLines="0" w:afterLines="0"/>
    </w:pPr>
    <w:rPr>
      <w:rFonts w:ascii="宋体" w:eastAsia="宋体"/>
      <w:szCs w:val="21"/>
    </w:rPr>
  </w:style>
  <w:style w:type="paragraph" w:customStyle="1" w:styleId="113">
    <w:name w:val="附录章标题"/>
    <w:next w:val="26"/>
    <w:qFormat/>
    <w:uiPriority w:val="0"/>
    <w:pPr>
      <w:numPr>
        <w:ilvl w:val="1"/>
        <w:numId w:val="10"/>
      </w:num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4">
    <w:name w:val="附录一级条标题"/>
    <w:basedOn w:val="113"/>
    <w:next w:val="26"/>
    <w:qFormat/>
    <w:uiPriority w:val="0"/>
    <w:pPr>
      <w:numPr>
        <w:ilvl w:val="2"/>
      </w:numPr>
      <w:autoSpaceDN w:val="0"/>
      <w:spacing w:beforeLines="50" w:afterLines="50"/>
      <w:outlineLvl w:val="2"/>
    </w:pPr>
  </w:style>
  <w:style w:type="paragraph" w:customStyle="1" w:styleId="115">
    <w:name w:val="附录一级无"/>
    <w:basedOn w:val="114"/>
    <w:qFormat/>
    <w:uiPriority w:val="0"/>
    <w:pPr>
      <w:spacing w:beforeLines="0" w:afterLines="0"/>
    </w:pPr>
    <w:rPr>
      <w:rFonts w:ascii="宋体" w:eastAsia="宋体"/>
      <w:szCs w:val="21"/>
    </w:rPr>
  </w:style>
  <w:style w:type="paragraph" w:customStyle="1" w:styleId="116">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17">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8">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0">
    <w:name w:val="其他标准标志"/>
    <w:basedOn w:val="77"/>
    <w:qFormat/>
    <w:uiPriority w:val="0"/>
    <w:pPr>
      <w:framePr w:w="6101" w:wrap="around" w:vAnchor="page" w:hAnchor="page" w:x="4673" w:y="942"/>
    </w:pPr>
    <w:rPr>
      <w:w w:val="130"/>
    </w:rPr>
  </w:style>
  <w:style w:type="paragraph" w:customStyle="1" w:styleId="12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2">
    <w:name w:val="其他发布部门"/>
    <w:basedOn w:val="85"/>
    <w:qFormat/>
    <w:uiPriority w:val="0"/>
    <w:pPr>
      <w:framePr w:wrap="around" w:y="15310"/>
      <w:spacing w:line="0" w:lineRule="atLeast"/>
    </w:pPr>
    <w:rPr>
      <w:rFonts w:ascii="黑体" w:eastAsia="黑体"/>
      <w:b w:val="0"/>
    </w:rPr>
  </w:style>
  <w:style w:type="paragraph" w:customStyle="1" w:styleId="123">
    <w:name w:val="前言、引言标题"/>
    <w:next w:val="26"/>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4">
    <w:name w:val="三级无"/>
    <w:basedOn w:val="62"/>
    <w:qFormat/>
    <w:uiPriority w:val="0"/>
    <w:pPr>
      <w:spacing w:beforeLines="0" w:afterLines="0"/>
    </w:pPr>
    <w:rPr>
      <w:rFonts w:ascii="宋体" w:eastAsia="宋体"/>
    </w:rPr>
  </w:style>
  <w:style w:type="paragraph" w:customStyle="1" w:styleId="125">
    <w:name w:val="实施日期"/>
    <w:basedOn w:val="86"/>
    <w:qFormat/>
    <w:uiPriority w:val="0"/>
    <w:pPr>
      <w:framePr w:wrap="around" w:vAnchor="page" w:hAnchor="text"/>
      <w:jc w:val="right"/>
    </w:pPr>
  </w:style>
  <w:style w:type="paragraph" w:customStyle="1" w:styleId="126">
    <w:name w:val="示例后文字"/>
    <w:basedOn w:val="26"/>
    <w:next w:val="26"/>
    <w:qFormat/>
    <w:uiPriority w:val="0"/>
    <w:pPr>
      <w:ind w:firstLine="360"/>
    </w:pPr>
    <w:rPr>
      <w:sz w:val="18"/>
    </w:rPr>
  </w:style>
  <w:style w:type="paragraph" w:customStyle="1" w:styleId="127">
    <w:name w:val="首示例"/>
    <w:next w:val="26"/>
    <w:link w:val="128"/>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character" w:customStyle="1" w:styleId="128">
    <w:name w:val="首示例 Char"/>
    <w:link w:val="127"/>
    <w:qFormat/>
    <w:uiPriority w:val="0"/>
    <w:rPr>
      <w:rFonts w:ascii="宋体" w:hAnsi="宋体"/>
      <w:kern w:val="2"/>
      <w:sz w:val="18"/>
      <w:szCs w:val="18"/>
      <w:lang w:bidi="ar-SA"/>
    </w:rPr>
  </w:style>
  <w:style w:type="paragraph" w:customStyle="1" w:styleId="129">
    <w:name w:val="四级无"/>
    <w:basedOn w:val="66"/>
    <w:qFormat/>
    <w:uiPriority w:val="0"/>
    <w:pPr>
      <w:spacing w:beforeLines="0" w:afterLines="0"/>
    </w:pPr>
    <w:rPr>
      <w:rFonts w:ascii="宋体" w:eastAsia="宋体"/>
    </w:rPr>
  </w:style>
  <w:style w:type="paragraph" w:customStyle="1" w:styleId="130">
    <w:name w:val="条文脚注"/>
    <w:basedOn w:val="27"/>
    <w:qFormat/>
    <w:uiPriority w:val="0"/>
    <w:pPr>
      <w:numPr>
        <w:numId w:val="0"/>
      </w:numPr>
      <w:jc w:val="both"/>
    </w:pPr>
  </w:style>
  <w:style w:type="paragraph" w:customStyle="1" w:styleId="131">
    <w:name w:val="图标脚注说明"/>
    <w:basedOn w:val="26"/>
    <w:qFormat/>
    <w:uiPriority w:val="0"/>
    <w:pPr>
      <w:ind w:left="840" w:hanging="420" w:firstLineChars="0"/>
    </w:pPr>
    <w:rPr>
      <w:sz w:val="18"/>
      <w:szCs w:val="18"/>
    </w:rPr>
  </w:style>
  <w:style w:type="paragraph" w:customStyle="1" w:styleId="132">
    <w:name w:val="图表脚注说明"/>
    <w:basedOn w:val="1"/>
    <w:qFormat/>
    <w:uiPriority w:val="0"/>
    <w:pPr>
      <w:numPr>
        <w:ilvl w:val="0"/>
        <w:numId w:val="15"/>
      </w:numPr>
    </w:pPr>
    <w:rPr>
      <w:rFonts w:ascii="宋体"/>
      <w:sz w:val="18"/>
      <w:szCs w:val="18"/>
    </w:rPr>
  </w:style>
  <w:style w:type="paragraph" w:customStyle="1" w:styleId="133">
    <w:name w:val="图的脚注"/>
    <w:next w:val="2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34">
    <w:name w:val="文献分类号"/>
    <w:qFormat/>
    <w:uiPriority w:val="99"/>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5">
    <w:name w:val="五级无"/>
    <w:basedOn w:val="67"/>
    <w:qFormat/>
    <w:uiPriority w:val="0"/>
    <w:pPr>
      <w:spacing w:beforeLines="0" w:afterLines="0"/>
    </w:pPr>
    <w:rPr>
      <w:rFonts w:ascii="宋体" w:eastAsia="宋体"/>
    </w:rPr>
  </w:style>
  <w:style w:type="paragraph" w:customStyle="1" w:styleId="136">
    <w:name w:val="一级无"/>
    <w:basedOn w:val="51"/>
    <w:qFormat/>
    <w:uiPriority w:val="0"/>
    <w:pPr>
      <w:spacing w:beforeLines="0" w:afterLines="0"/>
    </w:pPr>
    <w:rPr>
      <w:rFonts w:ascii="宋体" w:eastAsia="宋体"/>
    </w:rPr>
  </w:style>
  <w:style w:type="paragraph" w:customStyle="1" w:styleId="137">
    <w:name w:val="正文表标题"/>
    <w:next w:val="26"/>
    <w:qFormat/>
    <w:uiPriority w:val="0"/>
    <w:pPr>
      <w:numPr>
        <w:ilvl w:val="0"/>
        <w:numId w:val="16"/>
      </w:numPr>
      <w:spacing w:beforeLines="50" w:afterLines="50"/>
      <w:jc w:val="center"/>
    </w:pPr>
    <w:rPr>
      <w:rFonts w:ascii="黑体" w:hAnsi="Times New Roman" w:eastAsia="黑体" w:cs="Times New Roman"/>
      <w:sz w:val="21"/>
      <w:lang w:val="en-US" w:eastAsia="zh-CN" w:bidi="ar-SA"/>
    </w:rPr>
  </w:style>
  <w:style w:type="paragraph" w:customStyle="1" w:styleId="138">
    <w:name w:val="正文公式编号制表符"/>
    <w:basedOn w:val="26"/>
    <w:next w:val="26"/>
    <w:qFormat/>
    <w:uiPriority w:val="0"/>
    <w:pPr>
      <w:ind w:firstLine="0" w:firstLineChars="0"/>
    </w:pPr>
  </w:style>
  <w:style w:type="paragraph" w:customStyle="1" w:styleId="139">
    <w:name w:val="正文图标题"/>
    <w:next w:val="26"/>
    <w:qFormat/>
    <w:uiPriority w:val="99"/>
    <w:pPr>
      <w:numPr>
        <w:ilvl w:val="0"/>
        <w:numId w:val="1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40">
    <w:name w:val="终结线"/>
    <w:basedOn w:val="1"/>
    <w:qFormat/>
    <w:uiPriority w:val="0"/>
    <w:pPr>
      <w:framePr w:hSpace="181" w:vSpace="181" w:wrap="around" w:vAnchor="text" w:hAnchor="margin" w:xAlign="center" w:y="285"/>
    </w:pPr>
  </w:style>
  <w:style w:type="paragraph" w:customStyle="1" w:styleId="141">
    <w:name w:val="其他发布日期"/>
    <w:basedOn w:val="86"/>
    <w:qFormat/>
    <w:uiPriority w:val="0"/>
    <w:pPr>
      <w:framePr w:wrap="around" w:vAnchor="page" w:hAnchor="text" w:x="1419"/>
    </w:pPr>
  </w:style>
  <w:style w:type="paragraph" w:customStyle="1" w:styleId="142">
    <w:name w:val="其他实施日期"/>
    <w:basedOn w:val="125"/>
    <w:qFormat/>
    <w:uiPriority w:val="0"/>
    <w:pPr>
      <w:framePr w:wrap="around"/>
    </w:pPr>
  </w:style>
  <w:style w:type="paragraph" w:customStyle="1" w:styleId="143">
    <w:name w:val="封面标准名称2"/>
    <w:basedOn w:val="89"/>
    <w:qFormat/>
    <w:uiPriority w:val="0"/>
    <w:pPr>
      <w:framePr w:wrap="around" w:y="4469"/>
      <w:spacing w:beforeLines="630"/>
    </w:pPr>
  </w:style>
  <w:style w:type="paragraph" w:customStyle="1" w:styleId="144">
    <w:name w:val="封面标准英文名称2"/>
    <w:basedOn w:val="90"/>
    <w:qFormat/>
    <w:uiPriority w:val="0"/>
    <w:pPr>
      <w:framePr w:wrap="around" w:y="4469"/>
    </w:pPr>
  </w:style>
  <w:style w:type="paragraph" w:customStyle="1" w:styleId="145">
    <w:name w:val="封面一致性程度标识2"/>
    <w:basedOn w:val="91"/>
    <w:qFormat/>
    <w:uiPriority w:val="0"/>
    <w:pPr>
      <w:framePr w:wrap="around" w:y="4469"/>
    </w:pPr>
  </w:style>
  <w:style w:type="paragraph" w:customStyle="1" w:styleId="146">
    <w:name w:val="封面标准文稿类别2"/>
    <w:basedOn w:val="92"/>
    <w:qFormat/>
    <w:uiPriority w:val="0"/>
    <w:pPr>
      <w:framePr w:wrap="around" w:y="4469"/>
    </w:pPr>
  </w:style>
  <w:style w:type="paragraph" w:customStyle="1" w:styleId="147">
    <w:name w:val="封面标准文稿编辑信息2"/>
    <w:basedOn w:val="93"/>
    <w:qFormat/>
    <w:uiPriority w:val="0"/>
    <w:pPr>
      <w:framePr w:wrap="around" w:y="4469"/>
    </w:pPr>
  </w:style>
  <w:style w:type="character" w:customStyle="1" w:styleId="148">
    <w:name w:val="apple-converted-space"/>
    <w:qFormat/>
    <w:uiPriority w:val="0"/>
  </w:style>
  <w:style w:type="paragraph" w:customStyle="1" w:styleId="149">
    <w:name w:val="Char Char2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51">
    <w:name w:val="个人答复风格"/>
    <w:qFormat/>
    <w:uiPriority w:val="0"/>
    <w:rPr>
      <w:rFonts w:ascii="Arial" w:hAnsi="Arial" w:eastAsia="宋体" w:cs="Arial"/>
      <w:color w:val="auto"/>
      <w:sz w:val="20"/>
    </w:rPr>
  </w:style>
  <w:style w:type="paragraph" w:customStyle="1" w:styleId="152">
    <w:name w:val="列项——"/>
    <w:qFormat/>
    <w:uiPriority w:val="0"/>
    <w:pPr>
      <w:widowControl w:val="0"/>
      <w:tabs>
        <w:tab w:val="left" w:pos="360"/>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153">
    <w:name w:val="批注主题 字符"/>
    <w:link w:val="34"/>
    <w:qFormat/>
    <w:uiPriority w:val="0"/>
    <w:rPr>
      <w:b/>
      <w:bCs/>
      <w:kern w:val="2"/>
      <w:sz w:val="21"/>
      <w:szCs w:val="24"/>
    </w:rPr>
  </w:style>
  <w:style w:type="paragraph" w:customStyle="1" w:styleId="154">
    <w:name w:val="样式1"/>
    <w:basedOn w:val="55"/>
    <w:qFormat/>
    <w:uiPriority w:val="0"/>
    <w:pPr>
      <w:spacing w:beforeLines="50" w:afterLines="50"/>
    </w:pPr>
  </w:style>
  <w:style w:type="table" w:customStyle="1" w:styleId="155">
    <w:name w:val="Table Normal"/>
    <w:basedOn w:val="35"/>
    <w:qFormat/>
    <w:uiPriority w:val="0"/>
    <w:rPr>
      <w:rFonts w:eastAsia="Times New Roman"/>
    </w:rPr>
    <w:tblPr>
      <w:tblCellMar>
        <w:left w:w="0" w:type="dxa"/>
        <w:right w:w="0" w:type="dxa"/>
      </w:tblCellMar>
    </w:tblPr>
  </w:style>
  <w:style w:type="character" w:customStyle="1" w:styleId="156">
    <w:name w:val="标题 1 字符"/>
    <w:basedOn w:val="37"/>
    <w:link w:val="2"/>
    <w:qFormat/>
    <w:uiPriority w:val="0"/>
    <w:rPr>
      <w:b/>
      <w:bCs/>
      <w:kern w:val="44"/>
      <w:sz w:val="44"/>
      <w:szCs w:val="44"/>
    </w:rPr>
  </w:style>
  <w:style w:type="paragraph" w:customStyle="1" w:styleId="157">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158">
    <w:name w:val="页脚 字符"/>
    <w:basedOn w:val="37"/>
    <w:link w:val="20"/>
    <w:qFormat/>
    <w:uiPriority w:val="99"/>
    <w:rPr>
      <w:kern w:val="2"/>
      <w:sz w:val="18"/>
      <w:szCs w:val="18"/>
    </w:rPr>
  </w:style>
  <w:style w:type="paragraph" w:styleId="159">
    <w:name w:val="List Paragraph"/>
    <w:basedOn w:val="1"/>
    <w:unhideWhenUsed/>
    <w:qFormat/>
    <w:uiPriority w:val="99"/>
    <w:pPr>
      <w:ind w:firstLine="420" w:firstLineChars="200"/>
    </w:pPr>
  </w:style>
  <w:style w:type="character" w:customStyle="1" w:styleId="160">
    <w:name w:val="正文文本 字符"/>
    <w:basedOn w:val="37"/>
    <w:link w:val="11"/>
    <w:qFormat/>
    <w:uiPriority w:val="99"/>
    <w:rPr>
      <w:rFonts w:ascii="宋体" w:hAnsi="宋体" w:cs="宋体"/>
      <w:color w:val="000000"/>
      <w:sz w:val="28"/>
      <w:szCs w:val="28"/>
    </w:rPr>
  </w:style>
  <w:style w:type="paragraph" w:customStyle="1" w:styleId="161">
    <w:name w:val="正文1"/>
    <w:qFormat/>
    <w:uiPriority w:val="0"/>
    <w:pPr>
      <w:jc w:val="both"/>
    </w:pPr>
    <w:rPr>
      <w:rFonts w:ascii="Arial" w:hAnsi="Arial" w:eastAsia="宋体" w:cs="Arial"/>
      <w:kern w:val="2"/>
      <w:sz w:val="21"/>
      <w:szCs w:val="21"/>
      <w:lang w:val="en-US" w:eastAsia="zh-CN" w:bidi="ar-SA"/>
    </w:rPr>
  </w:style>
  <w:style w:type="paragraph" w:customStyle="1" w:styleId="162">
    <w:name w:val="正文2"/>
    <w:qFormat/>
    <w:uiPriority w:val="0"/>
    <w:pPr>
      <w:jc w:val="both"/>
    </w:pPr>
    <w:rPr>
      <w:rFonts w:ascii="Arial" w:hAnsi="Arial" w:eastAsia="宋体" w:cs="Arial"/>
      <w:kern w:val="2"/>
      <w:sz w:val="21"/>
      <w:szCs w:val="21"/>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ly\Desktop\&#27987;&#39321;&#22411;&#30333;&#37202;&#65288;20141203&#65289;%2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EAA80-33BA-4C62-927E-AF3172A8F31F}">
  <ds:schemaRefs/>
</ds:datastoreItem>
</file>

<file path=docProps/app.xml><?xml version="1.0" encoding="utf-8"?>
<Properties xmlns="http://schemas.openxmlformats.org/officeDocument/2006/extended-properties" xmlns:vt="http://schemas.openxmlformats.org/officeDocument/2006/docPropsVTypes">
  <Template>浓香型白酒（20141203） (1).dot</Template>
  <Pages>16</Pages>
  <Words>4331</Words>
  <Characters>4928</Characters>
  <Lines>73</Lines>
  <Paragraphs>20</Paragraphs>
  <TotalTime>22</TotalTime>
  <ScaleCrop>false</ScaleCrop>
  <LinksUpToDate>false</LinksUpToDate>
  <CharactersWithSpaces>5106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2022-05-30T12:58:00Z</dcterms:created>
  <cp:lastPrinted>2025-07-05T02:11:00Z</cp:lastPrinted>
  <dcterms:modified xsi:type="dcterms:W3CDTF">2025-07-07T07:29:11Z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225C22C505B34A0B8CCC8042EC96C854_13</vt:lpwstr>
  </property>
  <property fmtid="{D5CDD505-2E9C-101B-9397-08002B2CF9AE}" pid="4" name="KSOTemplateDocerSaveRecord">
    <vt:lpwstr>eyJoZGlkIjoiNjMzMTc1OGM5YmYzMmZhZGFlMjY0ODk5YTQxNWQyNTgiLCJ1c2VySWQiOiI2Mzc2MTkzNTkifQ==</vt:lpwstr>
  </property>
</Properties>
</file>