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0F77A">
      <w:pPr>
        <w:spacing w:line="480" w:lineRule="auto"/>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w:t>
      </w:r>
      <w:r>
        <w:rPr>
          <w:rFonts w:hint="eastAsia" w:ascii="Times New Roman" w:hAnsi="Times New Roman" w:eastAsia="宋体" w:cs="Times New Roman"/>
          <w:b/>
          <w:bCs/>
          <w:sz w:val="28"/>
          <w:szCs w:val="28"/>
        </w:rPr>
        <w:t>多粮低度浓香型白酒</w:t>
      </w:r>
      <w:r>
        <w:rPr>
          <w:rFonts w:ascii="Times New Roman" w:hAnsi="Times New Roman" w:eastAsia="宋体" w:cs="Times New Roman"/>
          <w:b/>
          <w:bCs/>
          <w:sz w:val="28"/>
          <w:szCs w:val="28"/>
        </w:rPr>
        <w:t>》团体标准</w:t>
      </w:r>
      <w:r>
        <w:rPr>
          <w:rFonts w:hint="eastAsia" w:ascii="Times New Roman" w:hAnsi="Times New Roman" w:eastAsia="宋体" w:cs="Times New Roman"/>
          <w:b/>
          <w:bCs/>
          <w:sz w:val="28"/>
          <w:szCs w:val="28"/>
        </w:rPr>
        <w:t xml:space="preserve"> </w:t>
      </w:r>
      <w:r>
        <w:rPr>
          <w:rFonts w:ascii="Times New Roman" w:hAnsi="Times New Roman" w:eastAsia="宋体" w:cs="Times New Roman"/>
          <w:b/>
          <w:bCs/>
          <w:sz w:val="28"/>
          <w:szCs w:val="28"/>
        </w:rPr>
        <w:t>编制说明</w:t>
      </w:r>
    </w:p>
    <w:p w14:paraId="56D2DBCF">
      <w:pPr>
        <w:spacing w:line="360" w:lineRule="auto"/>
        <w:ind w:firstLine="480" w:firstLineChars="200"/>
        <w:jc w:val="center"/>
        <w:rPr>
          <w:rFonts w:ascii="Times New Roman" w:hAnsi="Times New Roman" w:eastAsia="宋体" w:cs="Times New Roman"/>
          <w:sz w:val="24"/>
          <w:szCs w:val="24"/>
        </w:rPr>
      </w:pPr>
      <w:r>
        <w:rPr>
          <w:rFonts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征求意见</w:t>
      </w:r>
      <w:r>
        <w:rPr>
          <w:rFonts w:ascii="Times New Roman" w:hAnsi="Times New Roman" w:eastAsia="宋体" w:cs="Times New Roman"/>
          <w:sz w:val="24"/>
          <w:szCs w:val="24"/>
        </w:rPr>
        <w:t>稿）</w:t>
      </w:r>
    </w:p>
    <w:p w14:paraId="724781E4">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一、工作简况</w:t>
      </w:r>
    </w:p>
    <w:p w14:paraId="3C4F0509">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1.任务来源</w:t>
      </w:r>
    </w:p>
    <w:p w14:paraId="3E80F1D4">
      <w:pPr>
        <w:spacing w:line="360" w:lineRule="auto"/>
        <w:ind w:firstLine="480" w:firstLineChars="200"/>
        <w:rPr>
          <w:rFonts w:ascii="Times New Roman" w:hAnsi="Times New Roman" w:eastAsia="宋体" w:cs="Times New Roman"/>
          <w:sz w:val="24"/>
          <w:szCs w:val="24"/>
        </w:rPr>
      </w:pPr>
      <w:bookmarkStart w:id="0" w:name="_Hlk86420409"/>
      <w:r>
        <w:rPr>
          <w:rFonts w:hint="eastAsia" w:ascii="Times New Roman" w:hAnsi="Times New Roman" w:eastAsia="宋体" w:cs="Times New Roman"/>
          <w:sz w:val="24"/>
          <w:szCs w:val="24"/>
        </w:rPr>
        <w:t>宜宾五粮液股份有限公司、</w:t>
      </w:r>
      <w:r>
        <w:rPr>
          <w:rFonts w:ascii="Times New Roman" w:hAnsi="Times New Roman" w:eastAsia="宋体" w:cs="Times New Roman"/>
          <w:sz w:val="24"/>
          <w:szCs w:val="24"/>
        </w:rPr>
        <w:t>中国食品发酵工业研究院有限公司联合中国酒业协会白酒技术创新战略发展工作委员会提出团体标准提案，中国酒业协会团体标准审查委员会批准立项，</w:t>
      </w:r>
      <w:bookmarkEnd w:id="0"/>
      <w:r>
        <w:rPr>
          <w:rFonts w:ascii="Times New Roman" w:hAnsi="Times New Roman" w:eastAsia="宋体" w:cs="Times New Roman"/>
          <w:sz w:val="24"/>
          <w:szCs w:val="24"/>
        </w:rPr>
        <w:t>由中国酒业协会白酒技术创新战略发展工作委员会牵头，</w:t>
      </w:r>
      <w:r>
        <w:rPr>
          <w:rFonts w:hint="eastAsia" w:ascii="Times New Roman" w:hAnsi="Times New Roman" w:eastAsia="宋体" w:cs="Times New Roman"/>
          <w:sz w:val="24"/>
          <w:szCs w:val="24"/>
        </w:rPr>
        <w:t>宜宾五粮液股份有限公司等为主要起草</w:t>
      </w:r>
      <w:r>
        <w:rPr>
          <w:rFonts w:ascii="Times New Roman" w:hAnsi="Times New Roman" w:eastAsia="宋体" w:cs="Times New Roman"/>
          <w:sz w:val="24"/>
          <w:szCs w:val="24"/>
        </w:rPr>
        <w:t>单位负责起草编制《</w:t>
      </w:r>
      <w:r>
        <w:rPr>
          <w:rFonts w:hint="eastAsia" w:ascii="Times New Roman" w:hAnsi="Times New Roman" w:eastAsia="宋体" w:cs="Times New Roman"/>
          <w:sz w:val="24"/>
          <w:szCs w:val="24"/>
        </w:rPr>
        <w:t>多粮低度浓香型白酒</w:t>
      </w:r>
      <w:r>
        <w:rPr>
          <w:rFonts w:ascii="Times New Roman" w:hAnsi="Times New Roman" w:eastAsia="宋体" w:cs="Times New Roman"/>
          <w:sz w:val="24"/>
          <w:szCs w:val="24"/>
        </w:rPr>
        <w:t>》团体标准。</w:t>
      </w:r>
      <w:r>
        <w:rPr>
          <w:rFonts w:hint="eastAsia" w:ascii="Times New Roman" w:hAnsi="Times New Roman" w:eastAsia="宋体" w:cs="Times New Roman"/>
          <w:sz w:val="24"/>
          <w:szCs w:val="24"/>
        </w:rPr>
        <w:t>根据团体标准项目建议书，</w:t>
      </w:r>
      <w:r>
        <w:rPr>
          <w:rFonts w:ascii="Times New Roman" w:hAnsi="Times New Roman" w:eastAsia="宋体" w:cs="Times New Roman"/>
          <w:sz w:val="24"/>
          <w:szCs w:val="24"/>
        </w:rPr>
        <w:t>《</w:t>
      </w:r>
      <w:r>
        <w:rPr>
          <w:rFonts w:hint="eastAsia" w:ascii="Times New Roman" w:hAnsi="Times New Roman" w:eastAsia="宋体" w:cs="Times New Roman"/>
          <w:sz w:val="24"/>
          <w:szCs w:val="24"/>
        </w:rPr>
        <w:t>多粮低度浓香型白酒</w:t>
      </w:r>
      <w:r>
        <w:rPr>
          <w:rFonts w:ascii="Times New Roman" w:hAnsi="Times New Roman" w:eastAsia="宋体" w:cs="Times New Roman"/>
          <w:sz w:val="24"/>
          <w:szCs w:val="24"/>
        </w:rPr>
        <w:t>》</w:t>
      </w:r>
      <w:r>
        <w:rPr>
          <w:rFonts w:hint="eastAsia" w:ascii="Times New Roman" w:hAnsi="Times New Roman" w:eastAsia="宋体" w:cs="Times New Roman"/>
          <w:sz w:val="24"/>
          <w:szCs w:val="24"/>
        </w:rPr>
        <w:t>团体标准中国标准分类号X6</w:t>
      </w:r>
      <w:r>
        <w:rPr>
          <w:rFonts w:hint="eastAsia" w:ascii="Times New Roman" w:hAnsi="Times New Roman" w:eastAsia="宋体" w:cs="Times New Roman"/>
          <w:sz w:val="24"/>
          <w:szCs w:val="24"/>
          <w:lang w:val="en-US" w:eastAsia="zh-CN"/>
        </w:rPr>
        <w:t>1</w:t>
      </w:r>
      <w:r>
        <w:rPr>
          <w:rFonts w:hint="eastAsia" w:ascii="Times New Roman" w:hAnsi="Times New Roman" w:eastAsia="宋体" w:cs="Times New Roman"/>
          <w:sz w:val="24"/>
          <w:szCs w:val="24"/>
        </w:rPr>
        <w:t>（ICS分类号67.160.10）。</w:t>
      </w:r>
    </w:p>
    <w:p w14:paraId="73CA1765">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2.起草单位（计划）</w:t>
      </w:r>
    </w:p>
    <w:p w14:paraId="2AF0858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宜宾五粮液股份有限公司、</w:t>
      </w:r>
      <w:r>
        <w:rPr>
          <w:rFonts w:ascii="Times New Roman" w:hAnsi="Times New Roman" w:eastAsia="宋体" w:cs="Times New Roman"/>
          <w:sz w:val="24"/>
          <w:szCs w:val="24"/>
        </w:rPr>
        <w:t>中国酒业协会白酒技术创新战略发展工作委员会、中国食品发酵工业研究院有限公司</w:t>
      </w:r>
      <w:r>
        <w:rPr>
          <w:rFonts w:hint="eastAsia" w:ascii="Times New Roman" w:hAnsi="Times New Roman" w:eastAsia="宋体" w:cs="Times New Roman"/>
          <w:sz w:val="24"/>
          <w:szCs w:val="24"/>
          <w:lang w:eastAsia="zh-CN"/>
        </w:rPr>
        <w:t>、四川绵竹剑南春酒厂有限公司、舍得酒业股份有限公司、山东国井集团、山东兰陵美酒股份有限公司、宜宾酒股份有限公司、山东花冠酒业有限公司、</w:t>
      </w:r>
      <w:r>
        <w:rPr>
          <w:rFonts w:hint="eastAsia" w:ascii="Times New Roman" w:hAnsi="Times New Roman" w:eastAsia="宋体" w:cs="Times New Roman"/>
          <w:sz w:val="24"/>
          <w:szCs w:val="24"/>
          <w:lang w:val="en-US" w:eastAsia="zh-CN"/>
        </w:rPr>
        <w:t>北京工商大学、四川轻化工大学</w:t>
      </w:r>
      <w:r>
        <w:rPr>
          <w:rFonts w:ascii="Times New Roman" w:hAnsi="Times New Roman" w:eastAsia="宋体" w:cs="Times New Roman"/>
          <w:sz w:val="24"/>
          <w:szCs w:val="24"/>
        </w:rPr>
        <w:t>。</w:t>
      </w:r>
    </w:p>
    <w:p w14:paraId="683FBEBF">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3.目的意义</w:t>
      </w:r>
    </w:p>
    <w:p w14:paraId="7085876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随着社会经济的持续发展以及消费人群的不断更迭，白酒消费市场呈现出明显的多元化趋势，理性消费与健康消费理念日益深入人心，低度白酒的市场接受度也随之不断提高。在此背景下，制定低度白酒产品标准具有重要的意义和必要性。一方面，这是为了响应国家行业政策对白酒多样化、个性化、低度化发展的倡导，满足消费者对高品质、低度化白酒产品的迫切需求:另一方面，也是为了更好地开拓国际市场，适应国际消费低度化的主流趋势，同时规范低度白酒产品质量要求，有效解决低度白酒存在的“水感重”“口感淡”等品质争议问题，切实保障消费者权益，推动整个白酒行业的可持续发展。</w:t>
      </w:r>
    </w:p>
    <w:p w14:paraId="4DA7F7A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在众多白酒品类中，多粮浓香型白酒凭借其复杂的酿造工艺和独特的口感，一直是浓香型白酒市场的重要分支，并占据着主要的市场份额。近年来，以 39%vol五粮液为代表的多粮酿造浓香型低度白酒产品营收额逐年递增。由此可见，多粮浓香型白酒的低度化需求尤为迫切。随着消费者对高品质、低度化多粮浓香型白酒需求的不断增加，急需通过制定《多粮酿造低度浓香型白酒》标准来引导行业健康、有序发展。</w:t>
      </w:r>
    </w:p>
    <w:p w14:paraId="3FD45992">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二、编制过程</w:t>
      </w:r>
    </w:p>
    <w:p w14:paraId="507D0DB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202</w:t>
      </w:r>
      <w:r>
        <w:rPr>
          <w:rFonts w:hint="eastAsia" w:ascii="Times New Roman" w:hAnsi="Times New Roman" w:eastAsia="宋体" w:cs="Times New Roman"/>
          <w:sz w:val="24"/>
          <w:szCs w:val="24"/>
        </w:rPr>
        <w:t>5</w:t>
      </w:r>
      <w:r>
        <w:rPr>
          <w:rFonts w:ascii="Times New Roman" w:hAnsi="Times New Roman" w:eastAsia="宋体" w:cs="Times New Roman"/>
          <w:sz w:val="24"/>
          <w:szCs w:val="24"/>
        </w:rPr>
        <w:t>年</w:t>
      </w:r>
      <w:r>
        <w:rPr>
          <w:rFonts w:hint="eastAsia" w:ascii="Times New Roman" w:hAnsi="Times New Roman" w:eastAsia="宋体" w:cs="Times New Roman"/>
          <w:sz w:val="24"/>
          <w:szCs w:val="24"/>
        </w:rPr>
        <w:t>3月</w:t>
      </w:r>
      <w:r>
        <w:rPr>
          <w:rFonts w:ascii="Times New Roman" w:hAnsi="Times New Roman" w:eastAsia="宋体" w:cs="Times New Roman"/>
          <w:sz w:val="24"/>
          <w:szCs w:val="24"/>
        </w:rPr>
        <w:t>，</w:t>
      </w:r>
      <w:r>
        <w:rPr>
          <w:rFonts w:hint="eastAsia" w:ascii="Times New Roman" w:hAnsi="Times New Roman" w:eastAsia="宋体" w:cs="Times New Roman"/>
          <w:sz w:val="24"/>
          <w:szCs w:val="24"/>
        </w:rPr>
        <w:t>宜宾五粮液股份有限公司</w:t>
      </w:r>
      <w:r>
        <w:rPr>
          <w:rFonts w:ascii="Times New Roman" w:hAnsi="Times New Roman" w:eastAsia="宋体" w:cs="Times New Roman"/>
          <w:sz w:val="24"/>
          <w:szCs w:val="24"/>
        </w:rPr>
        <w:t>提出《</w:t>
      </w:r>
      <w:r>
        <w:rPr>
          <w:rFonts w:hint="eastAsia" w:ascii="Times New Roman" w:hAnsi="Times New Roman" w:eastAsia="宋体" w:cs="Times New Roman"/>
          <w:sz w:val="24"/>
          <w:szCs w:val="24"/>
        </w:rPr>
        <w:t>多粮酿造浓香型低度白酒</w:t>
      </w:r>
      <w:r>
        <w:rPr>
          <w:rFonts w:ascii="Times New Roman" w:hAnsi="Times New Roman" w:eastAsia="宋体" w:cs="Times New Roman"/>
          <w:sz w:val="24"/>
          <w:szCs w:val="24"/>
        </w:rPr>
        <w:t>》团体标准立项申请，提出标准制定框架和主要工作内容，确定制定方向与产品标准质量指标配套，并适时开展分析方法验证性研究和系统确证。</w:t>
      </w:r>
    </w:p>
    <w:p w14:paraId="6883A029">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202</w:t>
      </w:r>
      <w:r>
        <w:rPr>
          <w:rFonts w:hint="eastAsia" w:ascii="Times New Roman" w:hAnsi="Times New Roman" w:eastAsia="宋体" w:cs="Times New Roman"/>
          <w:sz w:val="24"/>
          <w:szCs w:val="24"/>
        </w:rPr>
        <w:t>5</w:t>
      </w:r>
      <w:r>
        <w:rPr>
          <w:rFonts w:ascii="Times New Roman" w:hAnsi="Times New Roman" w:eastAsia="宋体" w:cs="Times New Roman"/>
          <w:sz w:val="24"/>
          <w:szCs w:val="24"/>
        </w:rPr>
        <w:t>年</w:t>
      </w:r>
      <w:r>
        <w:rPr>
          <w:rFonts w:hint="eastAsia" w:ascii="Times New Roman" w:hAnsi="Times New Roman" w:eastAsia="宋体" w:cs="Times New Roman"/>
          <w:sz w:val="24"/>
          <w:szCs w:val="24"/>
        </w:rPr>
        <w:t>3</w:t>
      </w:r>
      <w:r>
        <w:rPr>
          <w:rFonts w:ascii="Times New Roman" w:hAnsi="Times New Roman" w:eastAsia="宋体" w:cs="Times New Roman"/>
          <w:sz w:val="24"/>
          <w:szCs w:val="24"/>
        </w:rPr>
        <w:t>月2</w:t>
      </w:r>
      <w:r>
        <w:rPr>
          <w:rFonts w:hint="eastAsia" w:ascii="Times New Roman" w:hAnsi="Times New Roman" w:eastAsia="宋体" w:cs="Times New Roman"/>
          <w:sz w:val="24"/>
          <w:szCs w:val="24"/>
        </w:rPr>
        <w:t>6</w:t>
      </w:r>
      <w:r>
        <w:rPr>
          <w:rFonts w:ascii="Times New Roman" w:hAnsi="Times New Roman" w:eastAsia="宋体" w:cs="Times New Roman"/>
          <w:sz w:val="24"/>
          <w:szCs w:val="24"/>
        </w:rPr>
        <w:t>日，中国酒业协会团体标准审查委员会向专家发文“关于对《</w:t>
      </w:r>
      <w:r>
        <w:rPr>
          <w:rFonts w:hint="eastAsia" w:ascii="Times New Roman" w:hAnsi="Times New Roman" w:eastAsia="宋体" w:cs="Times New Roman"/>
          <w:sz w:val="24"/>
          <w:szCs w:val="24"/>
        </w:rPr>
        <w:t>多粮酿造浓香型低度白酒</w:t>
      </w:r>
      <w:r>
        <w:rPr>
          <w:rFonts w:ascii="Times New Roman" w:hAnsi="Times New Roman" w:eastAsia="宋体" w:cs="Times New Roman"/>
          <w:sz w:val="24"/>
          <w:szCs w:val="24"/>
        </w:rPr>
        <w:t>》团体标准立项审查的函”对</w:t>
      </w:r>
      <w:r>
        <w:rPr>
          <w:rFonts w:hint="eastAsia" w:ascii="Times New Roman" w:hAnsi="Times New Roman" w:eastAsia="宋体" w:cs="Times New Roman"/>
          <w:sz w:val="24"/>
          <w:szCs w:val="24"/>
        </w:rPr>
        <w:t>本</w:t>
      </w:r>
      <w:r>
        <w:rPr>
          <w:rFonts w:ascii="Times New Roman" w:hAnsi="Times New Roman" w:eastAsia="宋体" w:cs="Times New Roman"/>
          <w:sz w:val="24"/>
          <w:szCs w:val="24"/>
        </w:rPr>
        <w:t>标准</w:t>
      </w:r>
      <w:r>
        <w:rPr>
          <w:rFonts w:hint="eastAsia" w:ascii="Times New Roman" w:hAnsi="Times New Roman" w:eastAsia="宋体" w:cs="Times New Roman"/>
          <w:sz w:val="24"/>
          <w:szCs w:val="24"/>
        </w:rPr>
        <w:t>项目建议</w:t>
      </w:r>
      <w:r>
        <w:rPr>
          <w:rFonts w:ascii="Times New Roman" w:hAnsi="Times New Roman" w:eastAsia="宋体" w:cs="Times New Roman"/>
          <w:sz w:val="24"/>
          <w:szCs w:val="24"/>
        </w:rPr>
        <w:t>进行立项审查</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中酒协标【2025】04号</w:t>
      </w:r>
      <w:r>
        <w:rPr>
          <w:rFonts w:hint="eastAsia" w:ascii="Times New Roman" w:hAnsi="Times New Roman" w:eastAsia="宋体" w:cs="Times New Roman"/>
          <w:sz w:val="24"/>
          <w:szCs w:val="24"/>
          <w:lang w:eastAsia="zh-CN"/>
        </w:rPr>
        <w:t>）</w:t>
      </w:r>
      <w:r>
        <w:rPr>
          <w:rFonts w:ascii="Times New Roman" w:hAnsi="Times New Roman" w:eastAsia="宋体" w:cs="Times New Roman"/>
          <w:sz w:val="24"/>
          <w:szCs w:val="24"/>
        </w:rPr>
        <w:t>。审查意见基本表示赞同。</w:t>
      </w:r>
    </w:p>
    <w:p w14:paraId="1CA422B5">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202</w:t>
      </w:r>
      <w:r>
        <w:rPr>
          <w:rFonts w:hint="eastAsia" w:ascii="Times New Roman" w:hAnsi="Times New Roman" w:eastAsia="宋体" w:cs="Times New Roman"/>
          <w:sz w:val="24"/>
          <w:szCs w:val="24"/>
        </w:rPr>
        <w:t>5</w:t>
      </w:r>
      <w:r>
        <w:rPr>
          <w:rFonts w:ascii="Times New Roman" w:hAnsi="Times New Roman" w:eastAsia="宋体" w:cs="Times New Roman"/>
          <w:sz w:val="24"/>
          <w:szCs w:val="24"/>
        </w:rPr>
        <w:t>年</w:t>
      </w:r>
      <w:r>
        <w:rPr>
          <w:rFonts w:hint="eastAsia" w:ascii="Times New Roman" w:hAnsi="Times New Roman" w:eastAsia="宋体" w:cs="Times New Roman"/>
          <w:sz w:val="24"/>
          <w:szCs w:val="24"/>
        </w:rPr>
        <w:t>4</w:t>
      </w:r>
      <w:r>
        <w:rPr>
          <w:rFonts w:ascii="Times New Roman" w:hAnsi="Times New Roman" w:eastAsia="宋体" w:cs="Times New Roman"/>
          <w:sz w:val="24"/>
          <w:szCs w:val="24"/>
        </w:rPr>
        <w:t>月</w:t>
      </w:r>
      <w:r>
        <w:rPr>
          <w:rFonts w:hint="eastAsia" w:ascii="Times New Roman" w:hAnsi="Times New Roman" w:eastAsia="宋体" w:cs="Times New Roman"/>
          <w:sz w:val="24"/>
          <w:szCs w:val="24"/>
        </w:rPr>
        <w:t>15</w:t>
      </w:r>
      <w:r>
        <w:rPr>
          <w:rFonts w:ascii="Times New Roman" w:hAnsi="Times New Roman" w:eastAsia="宋体" w:cs="Times New Roman"/>
          <w:sz w:val="24"/>
          <w:szCs w:val="24"/>
        </w:rPr>
        <w:t>日，中国酒业协会团体标准审查委员会根据审查结果发文“关于批准《</w:t>
      </w:r>
      <w:r>
        <w:rPr>
          <w:rFonts w:hint="eastAsia" w:ascii="Times New Roman" w:hAnsi="Times New Roman" w:eastAsia="宋体" w:cs="Times New Roman"/>
          <w:sz w:val="24"/>
          <w:szCs w:val="24"/>
        </w:rPr>
        <w:t>多粮酿造浓香型低度白酒</w:t>
      </w:r>
      <w:r>
        <w:rPr>
          <w:rFonts w:ascii="Times New Roman" w:hAnsi="Times New Roman" w:eastAsia="宋体" w:cs="Times New Roman"/>
          <w:sz w:val="24"/>
          <w:szCs w:val="24"/>
        </w:rPr>
        <w:t>》”批准立项</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中酒协标【2025】06号</w:t>
      </w:r>
      <w:r>
        <w:rPr>
          <w:rFonts w:hint="eastAsia" w:ascii="Times New Roman" w:hAnsi="Times New Roman" w:eastAsia="宋体" w:cs="Times New Roman"/>
          <w:sz w:val="24"/>
          <w:szCs w:val="24"/>
          <w:lang w:eastAsia="zh-CN"/>
        </w:rPr>
        <w:t>）</w:t>
      </w:r>
      <w:r>
        <w:rPr>
          <w:rFonts w:ascii="Times New Roman" w:hAnsi="Times New Roman" w:eastAsia="宋体" w:cs="Times New Roman"/>
          <w:sz w:val="24"/>
          <w:szCs w:val="24"/>
        </w:rPr>
        <w:t>，</w:t>
      </w:r>
      <w:r>
        <w:rPr>
          <w:rFonts w:hint="eastAsia" w:ascii="Times New Roman" w:hAnsi="Times New Roman" w:eastAsia="宋体" w:cs="Times New Roman"/>
          <w:sz w:val="24"/>
          <w:szCs w:val="24"/>
        </w:rPr>
        <w:t>同步</w:t>
      </w:r>
      <w:r>
        <w:rPr>
          <w:rFonts w:ascii="Times New Roman" w:hAnsi="Times New Roman" w:eastAsia="宋体" w:cs="Times New Roman"/>
          <w:sz w:val="24"/>
          <w:szCs w:val="24"/>
        </w:rPr>
        <w:t>并公开征集起草单位</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中酒协白创【2025】04号</w:t>
      </w:r>
      <w:r>
        <w:rPr>
          <w:rFonts w:hint="eastAsia" w:ascii="Times New Roman" w:hAnsi="Times New Roman" w:eastAsia="宋体" w:cs="Times New Roman"/>
          <w:sz w:val="24"/>
          <w:szCs w:val="24"/>
          <w:lang w:eastAsia="zh-CN"/>
        </w:rPr>
        <w:t>）</w:t>
      </w:r>
      <w:r>
        <w:rPr>
          <w:rFonts w:ascii="Times New Roman" w:hAnsi="Times New Roman" w:eastAsia="宋体" w:cs="Times New Roman"/>
          <w:sz w:val="24"/>
          <w:szCs w:val="24"/>
        </w:rPr>
        <w:t>。</w:t>
      </w:r>
    </w:p>
    <w:p w14:paraId="47F24C35">
      <w:pPr>
        <w:spacing w:line="360" w:lineRule="auto"/>
        <w:ind w:firstLine="480" w:firstLineChars="200"/>
        <w:rPr>
          <w:rFonts w:hint="default" w:ascii="Times New Roman" w:hAnsi="Times New Roman" w:eastAsia="宋体" w:cs="Times New Roman"/>
          <w:sz w:val="24"/>
          <w:szCs w:val="24"/>
          <w:lang w:val="en-US" w:eastAsia="zh-CN"/>
        </w:rPr>
      </w:pPr>
      <w:r>
        <w:rPr>
          <w:rFonts w:ascii="Times New Roman" w:hAnsi="Times New Roman" w:eastAsia="宋体" w:cs="Times New Roman"/>
          <w:sz w:val="24"/>
          <w:szCs w:val="24"/>
        </w:rPr>
        <w:t>202</w:t>
      </w:r>
      <w:r>
        <w:rPr>
          <w:rFonts w:hint="eastAsia" w:ascii="Times New Roman" w:hAnsi="Times New Roman" w:eastAsia="宋体" w:cs="Times New Roman"/>
          <w:sz w:val="24"/>
          <w:szCs w:val="24"/>
        </w:rPr>
        <w:t>5</w:t>
      </w:r>
      <w:r>
        <w:rPr>
          <w:rFonts w:ascii="Times New Roman" w:hAnsi="Times New Roman" w:eastAsia="宋体" w:cs="Times New Roman"/>
          <w:sz w:val="24"/>
          <w:szCs w:val="24"/>
        </w:rPr>
        <w:t>年</w:t>
      </w:r>
      <w:r>
        <w:rPr>
          <w:rFonts w:hint="eastAsia" w:ascii="Times New Roman" w:hAnsi="Times New Roman" w:eastAsia="宋体" w:cs="Times New Roman"/>
          <w:sz w:val="24"/>
          <w:szCs w:val="24"/>
        </w:rPr>
        <w:t>4</w:t>
      </w:r>
      <w:r>
        <w:rPr>
          <w:rFonts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w:t>
      </w:r>
      <w:r>
        <w:rPr>
          <w:rFonts w:ascii="Times New Roman" w:hAnsi="Times New Roman" w:eastAsia="宋体" w:cs="Times New Roman"/>
          <w:sz w:val="24"/>
          <w:szCs w:val="24"/>
        </w:rPr>
        <w:t>202</w:t>
      </w:r>
      <w:r>
        <w:rPr>
          <w:rFonts w:hint="eastAsia" w:ascii="Times New Roman" w:hAnsi="Times New Roman" w:eastAsia="宋体" w:cs="Times New Roman"/>
          <w:sz w:val="24"/>
          <w:szCs w:val="24"/>
        </w:rPr>
        <w:t>5</w:t>
      </w:r>
      <w:r>
        <w:rPr>
          <w:rFonts w:ascii="Times New Roman" w:hAnsi="Times New Roman" w:eastAsia="宋体" w:cs="Times New Roman"/>
          <w:sz w:val="24"/>
          <w:szCs w:val="24"/>
        </w:rPr>
        <w:t>年</w:t>
      </w:r>
      <w:r>
        <w:rPr>
          <w:rFonts w:hint="eastAsia" w:ascii="Times New Roman" w:hAnsi="Times New Roman" w:eastAsia="宋体" w:cs="Times New Roman"/>
          <w:sz w:val="24"/>
          <w:szCs w:val="24"/>
        </w:rPr>
        <w:t>5</w:t>
      </w:r>
      <w:r>
        <w:rPr>
          <w:rFonts w:ascii="Times New Roman" w:hAnsi="Times New Roman" w:eastAsia="宋体" w:cs="Times New Roman"/>
          <w:sz w:val="24"/>
          <w:szCs w:val="24"/>
        </w:rPr>
        <w:t>月，起草组</w:t>
      </w:r>
      <w:r>
        <w:rPr>
          <w:rFonts w:hint="eastAsia" w:ascii="Times New Roman" w:hAnsi="Times New Roman" w:eastAsia="宋体" w:cs="Times New Roman"/>
          <w:sz w:val="24"/>
          <w:szCs w:val="24"/>
        </w:rPr>
        <w:t>根据样品分析情况，拟定</w:t>
      </w:r>
      <w:r>
        <w:rPr>
          <w:rFonts w:ascii="Times New Roman" w:hAnsi="Times New Roman" w:eastAsia="宋体" w:cs="Times New Roman"/>
          <w:sz w:val="24"/>
          <w:szCs w:val="24"/>
        </w:rPr>
        <w:t>标准制定框架和</w:t>
      </w:r>
      <w:r>
        <w:rPr>
          <w:rFonts w:hint="eastAsia" w:ascii="Times New Roman" w:hAnsi="Times New Roman" w:eastAsia="宋体" w:cs="Times New Roman"/>
          <w:sz w:val="24"/>
          <w:szCs w:val="24"/>
        </w:rPr>
        <w:t>标准</w:t>
      </w:r>
      <w:r>
        <w:rPr>
          <w:rFonts w:ascii="Times New Roman" w:hAnsi="Times New Roman" w:eastAsia="宋体" w:cs="Times New Roman"/>
          <w:sz w:val="24"/>
          <w:szCs w:val="24"/>
        </w:rPr>
        <w:t>主要内容</w:t>
      </w:r>
      <w:r>
        <w:rPr>
          <w:rFonts w:hint="eastAsia" w:ascii="Times New Roman" w:hAnsi="Times New Roman" w:eastAsia="宋体" w:cs="Times New Roman"/>
          <w:sz w:val="24"/>
          <w:szCs w:val="24"/>
        </w:rPr>
        <w:t>，经研讨形成</w:t>
      </w:r>
      <w:r>
        <w:rPr>
          <w:rFonts w:hint="eastAsia" w:ascii="Times New Roman" w:hAnsi="Times New Roman" w:eastAsia="宋体" w:cs="Times New Roman"/>
          <w:sz w:val="24"/>
          <w:szCs w:val="24"/>
          <w:lang w:val="en-US" w:eastAsia="zh-CN"/>
        </w:rPr>
        <w:t>标准讨论</w:t>
      </w:r>
      <w:r>
        <w:rPr>
          <w:rFonts w:hint="eastAsia" w:ascii="Times New Roman" w:hAnsi="Times New Roman" w:eastAsia="宋体" w:cs="Times New Roman"/>
          <w:sz w:val="24"/>
          <w:szCs w:val="24"/>
        </w:rPr>
        <w:t>稿</w:t>
      </w:r>
      <w:r>
        <w:rPr>
          <w:rFonts w:hint="eastAsia" w:ascii="Times New Roman" w:hAnsi="Times New Roman" w:eastAsia="宋体" w:cs="Times New Roman"/>
          <w:sz w:val="24"/>
          <w:szCs w:val="24"/>
          <w:lang w:val="en-US" w:eastAsia="zh-CN"/>
        </w:rPr>
        <w:t>1</w:t>
      </w:r>
      <w:r>
        <w:rPr>
          <w:rFonts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讨论稿经与10家起草单位共同商议，协调意见后形成征求意见稿。</w:t>
      </w:r>
    </w:p>
    <w:p w14:paraId="71255004">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三、编制原则和标准主要内容的论据</w:t>
      </w:r>
    </w:p>
    <w:p w14:paraId="3F7BA0D0">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1.编制原则</w:t>
      </w:r>
    </w:p>
    <w:p w14:paraId="04D5330B">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1）</w:t>
      </w:r>
      <w:r>
        <w:rPr>
          <w:rFonts w:ascii="Times New Roman" w:hAnsi="Times New Roman" w:eastAsia="宋体" w:cs="Times New Roman"/>
          <w:b/>
          <w:bCs/>
          <w:sz w:val="24"/>
          <w:szCs w:val="24"/>
        </w:rPr>
        <w:t>规范性原则</w:t>
      </w:r>
      <w:r>
        <w:rPr>
          <w:rFonts w:ascii="Times New Roman" w:hAnsi="Times New Roman" w:eastAsia="宋体" w:cs="Times New Roman"/>
          <w:sz w:val="24"/>
          <w:szCs w:val="24"/>
        </w:rPr>
        <w:t>。本标准以国家、行业现有的标准为制定基础，本着先进性、科学性、合理性、可行性和可操作性的原则来进行本标准的制定工作，主要依据</w:t>
      </w:r>
      <w:bookmarkStart w:id="1" w:name="_Hlk86420438"/>
      <w:r>
        <w:rPr>
          <w:rFonts w:ascii="Times New Roman" w:hAnsi="Times New Roman" w:eastAsia="宋体" w:cs="Times New Roman"/>
          <w:sz w:val="24"/>
          <w:szCs w:val="24"/>
        </w:rPr>
        <w:t>GB/T 1.1-2020《标准化工作导则 第1部分：标准化文件的结构和起草规则》</w:t>
      </w:r>
      <w:r>
        <w:rPr>
          <w:rFonts w:hint="eastAsia" w:ascii="Times New Roman" w:hAnsi="Times New Roman" w:eastAsia="宋体" w:cs="Times New Roman"/>
          <w:sz w:val="24"/>
          <w:szCs w:val="24"/>
        </w:rPr>
        <w:t>、</w:t>
      </w:r>
      <w:r>
        <w:rPr>
          <w:rFonts w:ascii="Times New Roman" w:hAnsi="Times New Roman" w:eastAsia="宋体" w:cs="Times New Roman"/>
          <w:sz w:val="24"/>
          <w:szCs w:val="24"/>
        </w:rPr>
        <w:t>《团体标准管理规定》</w:t>
      </w:r>
      <w:r>
        <w:rPr>
          <w:rFonts w:hint="eastAsia" w:ascii="Times New Roman" w:hAnsi="Times New Roman" w:eastAsia="宋体" w:cs="Times New Roman"/>
          <w:sz w:val="24"/>
          <w:szCs w:val="24"/>
        </w:rPr>
        <w:t>等</w:t>
      </w:r>
      <w:r>
        <w:rPr>
          <w:rFonts w:ascii="Times New Roman" w:hAnsi="Times New Roman" w:eastAsia="宋体" w:cs="Times New Roman"/>
          <w:sz w:val="24"/>
          <w:szCs w:val="24"/>
        </w:rPr>
        <w:t>的规定编写内容。</w:t>
      </w:r>
      <w:bookmarkEnd w:id="1"/>
    </w:p>
    <w:p w14:paraId="0213DA8E">
      <w:pPr>
        <w:spacing w:line="48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2）</w:t>
      </w:r>
      <w:r>
        <w:rPr>
          <w:rFonts w:ascii="Times New Roman" w:hAnsi="Times New Roman" w:eastAsia="宋体" w:cs="Times New Roman"/>
          <w:b/>
          <w:bCs/>
          <w:sz w:val="24"/>
          <w:szCs w:val="24"/>
        </w:rPr>
        <w:t>系统性原则</w:t>
      </w:r>
      <w:r>
        <w:rPr>
          <w:rFonts w:ascii="Times New Roman" w:hAnsi="Times New Roman" w:eastAsia="宋体" w:cs="Times New Roman"/>
          <w:sz w:val="24"/>
          <w:szCs w:val="24"/>
        </w:rPr>
        <w:t xml:space="preserve">。本标准与GB </w:t>
      </w:r>
      <w:r>
        <w:rPr>
          <w:rFonts w:hint="eastAsia" w:ascii="Times New Roman" w:hAnsi="Times New Roman" w:eastAsia="宋体" w:cs="Times New Roman"/>
          <w:sz w:val="24"/>
          <w:szCs w:val="24"/>
        </w:rPr>
        <w:t>5009.225</w:t>
      </w:r>
      <w:r>
        <w:rPr>
          <w:rFonts w:ascii="Times New Roman" w:hAnsi="Times New Roman" w:eastAsia="宋体" w:cs="Times New Roman"/>
          <w:sz w:val="24"/>
          <w:szCs w:val="24"/>
        </w:rPr>
        <w:t xml:space="preserve">、GB </w:t>
      </w:r>
      <w:r>
        <w:rPr>
          <w:rFonts w:hint="eastAsia" w:ascii="Times New Roman" w:hAnsi="Times New Roman" w:eastAsia="宋体" w:cs="Times New Roman"/>
          <w:sz w:val="24"/>
          <w:szCs w:val="24"/>
        </w:rPr>
        <w:t>7718、</w:t>
      </w:r>
      <w:r>
        <w:rPr>
          <w:rFonts w:ascii="Times New Roman" w:hAnsi="Times New Roman" w:eastAsia="宋体" w:cs="Times New Roman"/>
          <w:sz w:val="24"/>
          <w:szCs w:val="24"/>
        </w:rPr>
        <w:t xml:space="preserve">GB/T </w:t>
      </w:r>
      <w:r>
        <w:rPr>
          <w:rFonts w:hint="eastAsia" w:ascii="Times New Roman" w:hAnsi="Times New Roman" w:eastAsia="宋体" w:cs="Times New Roman"/>
          <w:sz w:val="24"/>
          <w:szCs w:val="24"/>
        </w:rPr>
        <w:t>10345</w:t>
      </w:r>
      <w:r>
        <w:rPr>
          <w:rFonts w:ascii="Times New Roman" w:hAnsi="Times New Roman" w:eastAsia="宋体" w:cs="Times New Roman"/>
          <w:sz w:val="24"/>
          <w:szCs w:val="24"/>
        </w:rPr>
        <w:t xml:space="preserve">、GB/T </w:t>
      </w:r>
      <w:r>
        <w:rPr>
          <w:rFonts w:hint="eastAsia" w:ascii="Times New Roman" w:hAnsi="Times New Roman" w:eastAsia="宋体" w:cs="Times New Roman"/>
          <w:sz w:val="24"/>
          <w:szCs w:val="24"/>
        </w:rPr>
        <w:t>10346</w:t>
      </w:r>
      <w:r>
        <w:rPr>
          <w:rFonts w:ascii="Times New Roman" w:hAnsi="Times New Roman" w:eastAsia="宋体" w:cs="Times New Roman"/>
          <w:sz w:val="24"/>
          <w:szCs w:val="24"/>
        </w:rPr>
        <w:t xml:space="preserve">、GB/T </w:t>
      </w:r>
      <w:r>
        <w:rPr>
          <w:rFonts w:hint="eastAsia" w:ascii="Times New Roman" w:hAnsi="Times New Roman" w:eastAsia="宋体" w:cs="Times New Roman"/>
          <w:sz w:val="24"/>
          <w:szCs w:val="24"/>
        </w:rPr>
        <w:t>15109</w:t>
      </w:r>
      <w:r>
        <w:rPr>
          <w:rFonts w:ascii="Times New Roman" w:hAnsi="Times New Roman" w:eastAsia="宋体" w:cs="Times New Roman"/>
          <w:sz w:val="24"/>
          <w:szCs w:val="24"/>
        </w:rPr>
        <w:t>等引用的法规标准协调一致。按照术语和定义、</w:t>
      </w:r>
      <w:r>
        <w:rPr>
          <w:rFonts w:hint="eastAsia" w:ascii="Times New Roman" w:hAnsi="Times New Roman" w:eastAsia="宋体" w:cs="Times New Roman"/>
          <w:sz w:val="24"/>
          <w:szCs w:val="24"/>
        </w:rPr>
        <w:t>技术</w:t>
      </w:r>
      <w:r>
        <w:rPr>
          <w:rFonts w:ascii="Times New Roman" w:hAnsi="Times New Roman" w:eastAsia="宋体" w:cs="Times New Roman"/>
          <w:sz w:val="24"/>
          <w:szCs w:val="24"/>
        </w:rPr>
        <w:t>要求、试验方法、检验规则</w:t>
      </w:r>
      <w:r>
        <w:rPr>
          <w:rFonts w:hint="eastAsia" w:ascii="Times New Roman" w:hAnsi="Times New Roman" w:eastAsia="宋体" w:cs="Times New Roman"/>
          <w:sz w:val="24"/>
          <w:szCs w:val="24"/>
        </w:rPr>
        <w:t>和</w:t>
      </w:r>
      <w:r>
        <w:rPr>
          <w:rFonts w:ascii="Times New Roman" w:hAnsi="Times New Roman" w:eastAsia="宋体" w:cs="Times New Roman"/>
          <w:sz w:val="24"/>
          <w:szCs w:val="24"/>
        </w:rPr>
        <w:t>标志和包装、运输、贮存</w:t>
      </w:r>
      <w:r>
        <w:rPr>
          <w:rFonts w:hint="eastAsia" w:ascii="Times New Roman" w:hAnsi="Times New Roman" w:eastAsia="宋体" w:cs="Times New Roman"/>
          <w:sz w:val="24"/>
          <w:szCs w:val="24"/>
        </w:rPr>
        <w:t>以及附录</w:t>
      </w:r>
      <w:r>
        <w:rPr>
          <w:rFonts w:ascii="Times New Roman" w:hAnsi="Times New Roman" w:eastAsia="宋体" w:cs="Times New Roman"/>
          <w:sz w:val="24"/>
          <w:szCs w:val="24"/>
        </w:rPr>
        <w:t>展开。</w:t>
      </w:r>
    </w:p>
    <w:p w14:paraId="4EB43DD8">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3）</w:t>
      </w:r>
      <w:r>
        <w:rPr>
          <w:rFonts w:hint="eastAsia" w:ascii="宋体" w:hAnsi="宋体" w:eastAsia="宋体" w:cs="宋体"/>
          <w:b/>
          <w:bCs/>
          <w:color w:val="000000"/>
          <w:kern w:val="0"/>
          <w:sz w:val="24"/>
          <w:szCs w:val="24"/>
          <w:lang w:bidi="ar"/>
        </w:rPr>
        <w:t>普遍性与适应性</w:t>
      </w:r>
      <w:r>
        <w:rPr>
          <w:rFonts w:ascii="Times New Roman" w:hAnsi="Times New Roman" w:eastAsia="宋体" w:cs="Times New Roman"/>
          <w:sz w:val="24"/>
          <w:szCs w:val="24"/>
        </w:rPr>
        <w:t>。在</w:t>
      </w:r>
      <w:r>
        <w:rPr>
          <w:rFonts w:hint="eastAsia" w:ascii="Times New Roman" w:hAnsi="Times New Roman" w:eastAsia="宋体" w:cs="Times New Roman"/>
          <w:sz w:val="24"/>
          <w:szCs w:val="24"/>
        </w:rPr>
        <w:t>GB/T 10781.1-2021《白酒质量要求 第1部分:浓香型白酒》</w:t>
      </w:r>
      <w:r>
        <w:rPr>
          <w:rFonts w:ascii="Times New Roman" w:hAnsi="Times New Roman" w:eastAsia="宋体" w:cs="Times New Roman"/>
          <w:sz w:val="24"/>
          <w:szCs w:val="24"/>
        </w:rPr>
        <w:t>的基础上</w:t>
      </w:r>
      <w:r>
        <w:rPr>
          <w:rFonts w:hint="eastAsia" w:ascii="Times New Roman" w:hAnsi="Times New Roman" w:eastAsia="宋体" w:cs="Times New Roman"/>
          <w:sz w:val="24"/>
          <w:szCs w:val="24"/>
        </w:rPr>
        <w:t>，</w:t>
      </w:r>
      <w:r>
        <w:rPr>
          <w:rFonts w:ascii="Times New Roman" w:hAnsi="Times New Roman" w:eastAsia="宋体" w:cs="Times New Roman"/>
          <w:sz w:val="24"/>
          <w:szCs w:val="24"/>
        </w:rPr>
        <w:t>结合</w:t>
      </w:r>
      <w:r>
        <w:rPr>
          <w:rFonts w:hint="eastAsia" w:ascii="Times New Roman" w:hAnsi="Times New Roman" w:eastAsia="宋体" w:cs="Times New Roman"/>
          <w:sz w:val="24"/>
          <w:szCs w:val="24"/>
        </w:rPr>
        <w:t>行业中低度浓香型白酒的实际情况，</w:t>
      </w:r>
      <w:r>
        <w:rPr>
          <w:rFonts w:hint="eastAsia" w:ascii="宋体" w:hAnsi="宋体" w:eastAsia="宋体" w:cs="Times New Roman"/>
          <w:sz w:val="24"/>
          <w:szCs w:val="24"/>
        </w:rPr>
        <w:t>兼顾了普遍适用性和特殊场景下的灵活性，</w:t>
      </w:r>
      <w:r>
        <w:rPr>
          <w:rFonts w:hint="eastAsia" w:ascii="Times New Roman" w:hAnsi="Times New Roman" w:eastAsia="宋体" w:cs="Times New Roman"/>
          <w:sz w:val="24"/>
          <w:szCs w:val="24"/>
        </w:rPr>
        <w:t>建立多粮低度浓香型白酒的定义、理化、感官要求与相应评价体系</w:t>
      </w:r>
      <w:r>
        <w:rPr>
          <w:rFonts w:ascii="Times New Roman" w:hAnsi="Times New Roman" w:eastAsia="宋体" w:cs="Times New Roman"/>
          <w:sz w:val="24"/>
          <w:szCs w:val="24"/>
        </w:rPr>
        <w:t>，符合行业</w:t>
      </w:r>
      <w:r>
        <w:rPr>
          <w:rFonts w:hint="eastAsia" w:ascii="Times New Roman" w:hAnsi="Times New Roman" w:eastAsia="宋体" w:cs="Times New Roman"/>
          <w:sz w:val="24"/>
          <w:szCs w:val="24"/>
        </w:rPr>
        <w:t>规范低度浓香型白酒的</w:t>
      </w:r>
      <w:r>
        <w:rPr>
          <w:rFonts w:ascii="Times New Roman" w:hAnsi="Times New Roman" w:eastAsia="宋体" w:cs="Times New Roman"/>
          <w:sz w:val="24"/>
          <w:szCs w:val="24"/>
        </w:rPr>
        <w:t>要求。</w:t>
      </w:r>
    </w:p>
    <w:p w14:paraId="73B57384">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2.标准主要内容的论据</w:t>
      </w:r>
    </w:p>
    <w:p w14:paraId="22F8E794">
      <w:pPr>
        <w:spacing w:line="480" w:lineRule="auto"/>
        <w:ind w:firstLine="482" w:firstLineChars="20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1）</w:t>
      </w:r>
      <w:r>
        <w:rPr>
          <w:rFonts w:ascii="Times New Roman" w:hAnsi="Times New Roman" w:eastAsia="宋体" w:cs="Times New Roman"/>
          <w:b/>
          <w:bCs/>
          <w:sz w:val="24"/>
          <w:szCs w:val="24"/>
        </w:rPr>
        <w:t>术语</w:t>
      </w:r>
      <w:r>
        <w:rPr>
          <w:rFonts w:hint="eastAsia" w:ascii="Times New Roman" w:hAnsi="Times New Roman" w:eastAsia="宋体" w:cs="Times New Roman"/>
          <w:b/>
          <w:bCs/>
          <w:sz w:val="24"/>
          <w:szCs w:val="24"/>
        </w:rPr>
        <w:t>和</w:t>
      </w:r>
      <w:r>
        <w:rPr>
          <w:rFonts w:ascii="Times New Roman" w:hAnsi="Times New Roman" w:eastAsia="宋体" w:cs="Times New Roman"/>
          <w:b/>
          <w:bCs/>
          <w:sz w:val="24"/>
          <w:szCs w:val="24"/>
        </w:rPr>
        <w:t>定义</w:t>
      </w:r>
    </w:p>
    <w:p w14:paraId="41D8D8A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在GB/T 10781.1-2021《白酒质量要求 第1部分:浓香型白酒》中浓香型白酒定义的基础上，根据低度浓香型白酒的工艺、产品特点，明确了多粮酿造低度浓香型白酒的术语和定义：“以高粱、大米、糯米、小麦、玉米等为原料，以</w:t>
      </w:r>
      <w:r>
        <w:rPr>
          <w:rFonts w:hint="eastAsia" w:ascii="Times New Roman" w:hAnsi="Times New Roman" w:eastAsia="宋体" w:cs="Times New Roman"/>
          <w:sz w:val="24"/>
          <w:szCs w:val="24"/>
          <w:lang w:val="en-US" w:eastAsia="zh-CN"/>
        </w:rPr>
        <w:t>包包曲</w:t>
      </w:r>
      <w:r>
        <w:rPr>
          <w:rFonts w:hint="eastAsia" w:ascii="Times New Roman" w:hAnsi="Times New Roman" w:eastAsia="宋体" w:cs="Times New Roman"/>
          <w:sz w:val="24"/>
          <w:szCs w:val="24"/>
        </w:rPr>
        <w:t>为糖化发酵剂，采用泥窖发酵等传统酿造技艺，经固态发酵、固态蒸馏、陈酿、勾调而成的，酒精度在18%vol~40%vol之间的浓香型白酒。”</w:t>
      </w:r>
    </w:p>
    <w:p w14:paraId="36FD62B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明确低度浓香型白酒以高粱、大米、糯米、小麦、玉米</w:t>
      </w:r>
      <w:r>
        <w:rPr>
          <w:rFonts w:hint="eastAsia" w:ascii="Times New Roman" w:hAnsi="Times New Roman" w:eastAsia="宋体" w:cs="Times New Roman"/>
          <w:sz w:val="24"/>
          <w:szCs w:val="24"/>
          <w:lang w:val="en-US" w:eastAsia="zh-CN"/>
        </w:rPr>
        <w:t>等</w:t>
      </w:r>
      <w:r>
        <w:rPr>
          <w:rFonts w:hint="eastAsia" w:ascii="Times New Roman" w:hAnsi="Times New Roman" w:eastAsia="宋体" w:cs="Times New Roman"/>
          <w:sz w:val="24"/>
          <w:szCs w:val="24"/>
        </w:rPr>
        <w:t>为原料，生产采用</w:t>
      </w:r>
      <w:r>
        <w:rPr>
          <w:rFonts w:hint="eastAsia" w:ascii="Times New Roman" w:hAnsi="Times New Roman" w:eastAsia="宋体" w:cs="Times New Roman"/>
          <w:sz w:val="24"/>
          <w:szCs w:val="24"/>
          <w:lang w:val="en-US" w:eastAsia="zh-CN"/>
        </w:rPr>
        <w:t>传统中高温浓香型大曲包包曲</w:t>
      </w:r>
      <w:r>
        <w:rPr>
          <w:rFonts w:hint="eastAsia" w:ascii="Times New Roman" w:hAnsi="Times New Roman" w:eastAsia="宋体" w:cs="Times New Roman"/>
          <w:sz w:val="24"/>
          <w:szCs w:val="24"/>
        </w:rPr>
        <w:t>为糖化发</w:t>
      </w:r>
      <w:bookmarkStart w:id="5" w:name="_GoBack"/>
      <w:bookmarkEnd w:id="5"/>
      <w:r>
        <w:rPr>
          <w:rFonts w:hint="eastAsia" w:ascii="Times New Roman" w:hAnsi="Times New Roman" w:eastAsia="宋体" w:cs="Times New Roman"/>
          <w:sz w:val="24"/>
          <w:szCs w:val="24"/>
        </w:rPr>
        <w:t>酵剂，采用泥窖发酵等传统酿造技艺。在定义中明确了低度浓香型白酒的酒精度范围为18%vol~40%vol。此外，在注中规定不得直接或间接添加食用酒精和其他非白酒发酵的呈色呈香呈味物质，与浓香型白酒定义保持一致。</w:t>
      </w:r>
    </w:p>
    <w:p w14:paraId="31C15968">
      <w:pPr>
        <w:spacing w:line="480" w:lineRule="auto"/>
        <w:ind w:firstLine="482" w:firstLineChars="20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2）要求</w:t>
      </w:r>
    </w:p>
    <w:p w14:paraId="618FAA78">
      <w:pPr>
        <w:spacing w:line="480" w:lineRule="auto"/>
        <w:ind w:firstLine="482" w:firstLineChars="20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a)感官要求</w:t>
      </w:r>
    </w:p>
    <w:p w14:paraId="5F8BA69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lang w:val="en-GB"/>
        </w:rPr>
        <w:t>感官品评技术对于指导企业生产、控制产品质量、评鉴品质优劣、新品开发研究、推动行业发展具有重要意义。</w:t>
      </w:r>
      <w:r>
        <w:rPr>
          <w:rFonts w:hint="eastAsia" w:ascii="Times New Roman" w:hAnsi="Times New Roman" w:eastAsia="宋体" w:cs="Times New Roman"/>
          <w:sz w:val="24"/>
          <w:szCs w:val="24"/>
        </w:rPr>
        <w:t>参考GB/T</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33404《白酒感官品评导则》中界定的颜色、香气、口感及风格的描述进行界定，</w:t>
      </w:r>
      <w:r>
        <w:rPr>
          <w:rFonts w:hint="eastAsia" w:ascii="Times New Roman" w:hAnsi="Times New Roman" w:eastAsia="宋体" w:cs="Times New Roman"/>
          <w:sz w:val="24"/>
          <w:szCs w:val="24"/>
          <w:lang w:val="en-GB"/>
        </w:rPr>
        <w:t>综合</w:t>
      </w:r>
      <w:r>
        <w:rPr>
          <w:rFonts w:hint="eastAsia" w:ascii="Times New Roman" w:hAnsi="Times New Roman" w:eastAsia="宋体" w:cs="Times New Roman"/>
          <w:sz w:val="24"/>
          <w:szCs w:val="24"/>
        </w:rPr>
        <w:t>多粮酿造低度浓香型白酒</w:t>
      </w:r>
      <w:r>
        <w:rPr>
          <w:rFonts w:hint="eastAsia" w:ascii="Times New Roman" w:hAnsi="Times New Roman" w:eastAsia="宋体" w:cs="Times New Roman"/>
          <w:sz w:val="24"/>
          <w:szCs w:val="24"/>
          <w:lang w:val="en-GB"/>
        </w:rPr>
        <w:t>感官共性与特性。按照感觉器官的感知顺序，形成了使消费者通俗易懂，更易感知的具体香气描述词。例如：</w:t>
      </w:r>
      <w:r>
        <w:rPr>
          <w:rFonts w:hint="eastAsia" w:ascii="Times New Roman" w:hAnsi="Times New Roman" w:eastAsia="宋体" w:cs="Times New Roman"/>
          <w:b/>
          <w:bCs/>
          <w:sz w:val="24"/>
          <w:szCs w:val="24"/>
          <w:lang w:val="en-GB"/>
        </w:rPr>
        <w:t>窖香、多粮香、曲香</w:t>
      </w:r>
      <w:r>
        <w:rPr>
          <w:rFonts w:hint="eastAsia" w:ascii="Times New Roman" w:hAnsi="Times New Roman" w:eastAsia="宋体" w:cs="Times New Roman"/>
          <w:sz w:val="24"/>
          <w:szCs w:val="24"/>
          <w:lang w:val="en-GB"/>
        </w:rPr>
        <w:t>，这些感官描述术语能够充分反映</w:t>
      </w:r>
      <w:r>
        <w:rPr>
          <w:rFonts w:hint="eastAsia" w:ascii="Times New Roman" w:hAnsi="Times New Roman" w:eastAsia="宋体" w:cs="Times New Roman"/>
          <w:sz w:val="24"/>
          <w:szCs w:val="24"/>
        </w:rPr>
        <w:t>多粮酿造低度浓香型白酒</w:t>
      </w:r>
      <w:r>
        <w:rPr>
          <w:rFonts w:hint="eastAsia" w:ascii="Times New Roman" w:hAnsi="Times New Roman" w:eastAsia="宋体" w:cs="Times New Roman"/>
          <w:sz w:val="24"/>
          <w:szCs w:val="24"/>
          <w:lang w:val="en-GB"/>
        </w:rPr>
        <w:t>的共性特点，而且在字面意思上更便于监督检验机构、消费者正确品评与欣赏产品，感知其独特风味，反映产品真实特性。</w:t>
      </w:r>
      <w:r>
        <w:rPr>
          <w:rFonts w:hint="eastAsia" w:ascii="Times New Roman" w:hAnsi="Times New Roman" w:eastAsia="宋体" w:cs="Times New Roman"/>
          <w:sz w:val="24"/>
          <w:szCs w:val="24"/>
        </w:rPr>
        <w:t>同时，参考GB/T 10781.1 《白酒质量要求 第1部分：浓香型白酒》标准，针对产品外观“香气”特性进行补充，“香气优雅舒适、自然和谐”。口味要求中，依据感官品评结果，详细的描述了“入口绵甜、口中细腻，入喉净爽，各味谐调，低而不淡，余味较长”的特点。风格上，突出多粮酿造低度浓香型白酒的“典型的醇、甜、净、爽”的独特风格。</w:t>
      </w:r>
    </w:p>
    <w:p w14:paraId="0B81F4E0">
      <w:pPr>
        <w:pStyle w:val="36"/>
        <w:spacing w:before="156" w:after="156" w:line="360" w:lineRule="auto"/>
        <w:rPr>
          <w:rFonts w:ascii="Times New Roman"/>
        </w:rPr>
      </w:pPr>
      <w:r>
        <w:rPr>
          <w:rFonts w:ascii="Times New Roman"/>
        </w:rPr>
        <w:t>表</w:t>
      </w:r>
      <w:r>
        <w:rPr>
          <w:rFonts w:hint="eastAsia" w:ascii="Times New Roman"/>
        </w:rPr>
        <w:t>1</w:t>
      </w:r>
      <w:r>
        <w:rPr>
          <w:rFonts w:ascii="Times New Roman"/>
        </w:rPr>
        <w:t>　</w:t>
      </w:r>
      <w:r>
        <w:rPr>
          <w:rFonts w:hint="eastAsia" w:ascii="Times New Roman"/>
        </w:rPr>
        <w:t>感官</w:t>
      </w:r>
      <w:r>
        <w:rPr>
          <w:rFonts w:ascii="Times New Roman"/>
        </w:rPr>
        <w:t>要求</w:t>
      </w:r>
    </w:p>
    <w:tbl>
      <w:tblPr>
        <w:tblStyle w:val="9"/>
        <w:tblW w:w="88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77"/>
        <w:gridCol w:w="6438"/>
      </w:tblGrid>
      <w:tr w14:paraId="13828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2377" w:type="dxa"/>
            <w:vAlign w:val="center"/>
          </w:tcPr>
          <w:p w14:paraId="139BF3F1">
            <w:pPr>
              <w:pStyle w:val="21"/>
              <w:tabs>
                <w:tab w:val="center" w:pos="4201"/>
                <w:tab w:val="right" w:leader="dot" w:pos="9298"/>
              </w:tabs>
              <w:ind w:firstLine="0" w:firstLineChars="0"/>
              <w:jc w:val="center"/>
              <w:rPr>
                <w:rFonts w:hAnsi="宋体"/>
                <w:color w:val="000000"/>
                <w:sz w:val="18"/>
                <w:szCs w:val="18"/>
              </w:rPr>
            </w:pPr>
            <w:r>
              <w:rPr>
                <w:rFonts w:hint="eastAsia" w:hAnsi="宋体"/>
                <w:color w:val="000000"/>
                <w:sz w:val="18"/>
                <w:szCs w:val="18"/>
              </w:rPr>
              <w:t>项 目</w:t>
            </w:r>
          </w:p>
        </w:tc>
        <w:tc>
          <w:tcPr>
            <w:tcW w:w="6438" w:type="dxa"/>
            <w:vAlign w:val="center"/>
          </w:tcPr>
          <w:p w14:paraId="60EA31BA">
            <w:pPr>
              <w:pStyle w:val="21"/>
              <w:tabs>
                <w:tab w:val="center" w:pos="4201"/>
                <w:tab w:val="right" w:leader="dot" w:pos="9298"/>
              </w:tabs>
              <w:ind w:firstLine="0" w:firstLineChars="0"/>
              <w:jc w:val="center"/>
              <w:rPr>
                <w:rFonts w:hAnsi="宋体"/>
                <w:color w:val="000000"/>
                <w:sz w:val="18"/>
                <w:szCs w:val="18"/>
              </w:rPr>
            </w:pPr>
            <w:r>
              <w:rPr>
                <w:rFonts w:hint="eastAsia" w:hAnsi="宋体"/>
                <w:color w:val="000000"/>
                <w:sz w:val="18"/>
                <w:szCs w:val="18"/>
              </w:rPr>
              <w:t>感官要求</w:t>
            </w:r>
          </w:p>
        </w:tc>
      </w:tr>
      <w:tr w14:paraId="7CFD4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2377" w:type="dxa"/>
            <w:tcBorders>
              <w:bottom w:val="single" w:color="000000" w:sz="4" w:space="0"/>
            </w:tcBorders>
            <w:vAlign w:val="center"/>
          </w:tcPr>
          <w:p w14:paraId="11EF75DF">
            <w:pPr>
              <w:pStyle w:val="21"/>
              <w:tabs>
                <w:tab w:val="center" w:pos="4201"/>
                <w:tab w:val="right" w:leader="dot" w:pos="9298"/>
              </w:tabs>
              <w:ind w:firstLine="0" w:firstLineChars="0"/>
              <w:jc w:val="center"/>
              <w:rPr>
                <w:rFonts w:hAnsi="宋体"/>
                <w:color w:val="000000"/>
                <w:sz w:val="18"/>
                <w:szCs w:val="18"/>
              </w:rPr>
            </w:pPr>
            <w:r>
              <w:rPr>
                <w:rFonts w:hint="eastAsia" w:hAnsi="宋体"/>
                <w:sz w:val="18"/>
                <w:szCs w:val="18"/>
              </w:rPr>
              <w:t>色泽和外观</w:t>
            </w:r>
            <w:r>
              <w:rPr>
                <w:rFonts w:hint="eastAsia" w:hAnsi="宋体"/>
                <w:sz w:val="18"/>
                <w:szCs w:val="18"/>
                <w:vertAlign w:val="superscript"/>
              </w:rPr>
              <w:t>a</w:t>
            </w:r>
          </w:p>
        </w:tc>
        <w:tc>
          <w:tcPr>
            <w:tcW w:w="6438" w:type="dxa"/>
            <w:tcBorders>
              <w:bottom w:val="single" w:color="000000" w:sz="4" w:space="0"/>
            </w:tcBorders>
            <w:vAlign w:val="center"/>
          </w:tcPr>
          <w:p w14:paraId="2A89A14A">
            <w:pPr>
              <w:jc w:val="center"/>
              <w:rPr>
                <w:sz w:val="18"/>
                <w:szCs w:val="18"/>
              </w:rPr>
            </w:pPr>
            <w:r>
              <w:rPr>
                <w:rFonts w:hint="eastAsia"/>
                <w:sz w:val="18"/>
                <w:szCs w:val="18"/>
              </w:rPr>
              <w:t>无色或微黄，清澈透明、无悬浮物或沉淀</w:t>
            </w:r>
          </w:p>
        </w:tc>
      </w:tr>
      <w:tr w14:paraId="3F11D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377" w:type="dxa"/>
            <w:vAlign w:val="center"/>
          </w:tcPr>
          <w:p w14:paraId="1C7EFC66">
            <w:pPr>
              <w:pStyle w:val="21"/>
              <w:tabs>
                <w:tab w:val="center" w:pos="4201"/>
                <w:tab w:val="right" w:leader="dot" w:pos="9298"/>
              </w:tabs>
              <w:ind w:firstLine="0" w:firstLineChars="0"/>
              <w:jc w:val="center"/>
              <w:rPr>
                <w:rFonts w:hAnsi="宋体"/>
                <w:color w:val="000000"/>
                <w:sz w:val="18"/>
                <w:szCs w:val="18"/>
              </w:rPr>
            </w:pPr>
            <w:r>
              <w:rPr>
                <w:rFonts w:hint="eastAsia" w:hAnsi="宋体"/>
                <w:sz w:val="18"/>
                <w:szCs w:val="18"/>
              </w:rPr>
              <w:t>香气</w:t>
            </w:r>
          </w:p>
        </w:tc>
        <w:tc>
          <w:tcPr>
            <w:tcW w:w="6438" w:type="dxa"/>
            <w:vAlign w:val="center"/>
          </w:tcPr>
          <w:p w14:paraId="4EA585FB">
            <w:pPr>
              <w:jc w:val="center"/>
              <w:rPr>
                <w:sz w:val="18"/>
                <w:szCs w:val="18"/>
              </w:rPr>
            </w:pPr>
            <w:r>
              <w:rPr>
                <w:rFonts w:hint="eastAsia"/>
                <w:sz w:val="18"/>
                <w:szCs w:val="18"/>
              </w:rPr>
              <w:t>具有以窖香、多粮香、曲香为主体的复合香气，香气优雅舒适、自然和谐</w:t>
            </w:r>
          </w:p>
        </w:tc>
      </w:tr>
      <w:tr w14:paraId="230AE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377" w:type="dxa"/>
            <w:vAlign w:val="center"/>
          </w:tcPr>
          <w:p w14:paraId="2BB71760">
            <w:pPr>
              <w:pStyle w:val="21"/>
              <w:tabs>
                <w:tab w:val="center" w:pos="4201"/>
                <w:tab w:val="right" w:leader="dot" w:pos="9298"/>
              </w:tabs>
              <w:ind w:firstLine="0" w:firstLineChars="0"/>
              <w:jc w:val="center"/>
              <w:rPr>
                <w:rFonts w:hAnsi="宋体"/>
                <w:sz w:val="18"/>
                <w:szCs w:val="18"/>
              </w:rPr>
            </w:pPr>
            <w:r>
              <w:rPr>
                <w:rFonts w:hint="eastAsia" w:hAnsi="宋体"/>
                <w:sz w:val="18"/>
                <w:szCs w:val="18"/>
              </w:rPr>
              <w:t>口味</w:t>
            </w:r>
          </w:p>
        </w:tc>
        <w:tc>
          <w:tcPr>
            <w:tcW w:w="6438" w:type="dxa"/>
            <w:vAlign w:val="center"/>
          </w:tcPr>
          <w:p w14:paraId="2A087F5D">
            <w:pPr>
              <w:jc w:val="center"/>
              <w:rPr>
                <w:sz w:val="18"/>
                <w:szCs w:val="18"/>
              </w:rPr>
            </w:pPr>
            <w:r>
              <w:rPr>
                <w:rFonts w:hint="eastAsia"/>
                <w:sz w:val="18"/>
                <w:szCs w:val="18"/>
              </w:rPr>
              <w:t>入口绵甜、口中细腻，入喉净爽，各味谐调，低而不淡，余味较长</w:t>
            </w:r>
          </w:p>
        </w:tc>
      </w:tr>
      <w:tr w14:paraId="76916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377" w:type="dxa"/>
            <w:vAlign w:val="center"/>
          </w:tcPr>
          <w:p w14:paraId="73BA5817">
            <w:pPr>
              <w:pStyle w:val="21"/>
              <w:tabs>
                <w:tab w:val="center" w:pos="4201"/>
                <w:tab w:val="right" w:leader="dot" w:pos="9298"/>
              </w:tabs>
              <w:ind w:firstLine="0" w:firstLineChars="0"/>
              <w:jc w:val="center"/>
              <w:rPr>
                <w:rFonts w:hAnsi="宋体"/>
                <w:sz w:val="18"/>
                <w:szCs w:val="18"/>
              </w:rPr>
            </w:pPr>
            <w:r>
              <w:rPr>
                <w:rFonts w:hint="eastAsia" w:hAnsi="宋体"/>
                <w:sz w:val="18"/>
                <w:szCs w:val="18"/>
              </w:rPr>
              <w:t>风格</w:t>
            </w:r>
          </w:p>
        </w:tc>
        <w:tc>
          <w:tcPr>
            <w:tcW w:w="6438" w:type="dxa"/>
            <w:vAlign w:val="center"/>
          </w:tcPr>
          <w:p w14:paraId="4ED25846">
            <w:pPr>
              <w:jc w:val="center"/>
              <w:rPr>
                <w:sz w:val="18"/>
                <w:szCs w:val="18"/>
              </w:rPr>
            </w:pPr>
            <w:r>
              <w:rPr>
                <w:rFonts w:hint="eastAsia"/>
                <w:sz w:val="18"/>
                <w:szCs w:val="18"/>
              </w:rPr>
              <w:t>具有典型的醇、甜、净、爽独特风格</w:t>
            </w:r>
          </w:p>
        </w:tc>
      </w:tr>
      <w:tr w14:paraId="14F00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8815" w:type="dxa"/>
            <w:gridSpan w:val="2"/>
            <w:vAlign w:val="center"/>
          </w:tcPr>
          <w:p w14:paraId="424CBCB3">
            <w:pPr>
              <w:pStyle w:val="38"/>
              <w:numPr>
                <w:ilvl w:val="0"/>
                <w:numId w:val="0"/>
              </w:numPr>
              <w:ind w:left="363"/>
              <w:jc w:val="both"/>
            </w:pPr>
            <w:r>
              <w:rPr>
                <w:rFonts w:hint="eastAsia" w:hAnsi="宋体"/>
                <w:vertAlign w:val="superscript"/>
              </w:rPr>
              <w:t>a</w:t>
            </w:r>
            <w:r>
              <w:rPr>
                <w:rFonts w:hint="eastAsia" w:hAnsi="宋体"/>
              </w:rPr>
              <w:t>当酒温度低于10℃时，允许出现白色絮状沉淀物质或失光。10℃以上时应逐渐恢复正常。</w:t>
            </w:r>
          </w:p>
        </w:tc>
      </w:tr>
    </w:tbl>
    <w:p w14:paraId="5661A05A">
      <w:pPr>
        <w:spacing w:line="480" w:lineRule="auto"/>
        <w:ind w:firstLine="482" w:firstLineChars="20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b)理化要求</w:t>
      </w:r>
    </w:p>
    <w:p w14:paraId="7A51855E">
      <w:pPr>
        <w:spacing w:line="480" w:lineRule="auto"/>
        <w:ind w:firstLine="482" w:firstLineChars="20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①酒精度</w:t>
      </w:r>
    </w:p>
    <w:p w14:paraId="24765DD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lang w:val="en-GB"/>
        </w:rPr>
        <w:t xml:space="preserve"> GB/T 10781.1-2021《白酒质量要求</w:t>
      </w:r>
      <w:r>
        <w:rPr>
          <w:rFonts w:hint="eastAsia" w:ascii="Times New Roman" w:hAnsi="Times New Roman" w:eastAsia="宋体" w:cs="Times New Roman"/>
          <w:sz w:val="24"/>
          <w:szCs w:val="24"/>
        </w:rPr>
        <w:t xml:space="preserve"> </w:t>
      </w:r>
      <w:r>
        <w:rPr>
          <w:rFonts w:hint="eastAsia" w:ascii="Times New Roman" w:hAnsi="Times New Roman" w:eastAsia="宋体" w:cs="Times New Roman"/>
          <w:sz w:val="24"/>
          <w:szCs w:val="24"/>
          <w:lang w:val="en-GB"/>
        </w:rPr>
        <w:t>第1部分:浓香型白酒》</w:t>
      </w:r>
      <w:r>
        <w:rPr>
          <w:rFonts w:hint="eastAsia" w:ascii="Times New Roman" w:hAnsi="Times New Roman" w:eastAsia="宋体" w:cs="Times New Roman"/>
          <w:sz w:val="24"/>
          <w:szCs w:val="24"/>
        </w:rPr>
        <w:t>的</w:t>
      </w:r>
      <w:r>
        <w:rPr>
          <w:rFonts w:hint="eastAsia" w:ascii="Times New Roman" w:hAnsi="Times New Roman" w:eastAsia="宋体" w:cs="Times New Roman"/>
          <w:sz w:val="24"/>
          <w:szCs w:val="24"/>
          <w:lang w:val="en-GB"/>
        </w:rPr>
        <w:t>低度浓香型白酒范围为 25%vo1~40%vol</w:t>
      </w:r>
      <w:r>
        <w:rPr>
          <w:rFonts w:hint="eastAsia" w:ascii="Times New Roman" w:hAnsi="Times New Roman" w:eastAsia="宋体" w:cs="Times New Roman"/>
          <w:sz w:val="24"/>
          <w:szCs w:val="24"/>
          <w:lang w:val="en-GB" w:eastAsia="zh-CN"/>
        </w:rPr>
        <w:t>，</w:t>
      </w:r>
      <w:r>
        <w:rPr>
          <w:rFonts w:hint="eastAsia" w:ascii="Times New Roman" w:hAnsi="Times New Roman" w:eastAsia="宋体" w:cs="Times New Roman"/>
          <w:sz w:val="24"/>
          <w:szCs w:val="24"/>
          <w:lang w:val="en-US" w:eastAsia="zh-CN"/>
        </w:rPr>
        <w:t>包含</w:t>
      </w:r>
      <w:r>
        <w:rPr>
          <w:rFonts w:hint="eastAsia" w:ascii="Times New Roman" w:hAnsi="Times New Roman" w:eastAsia="宋体" w:cs="Times New Roman"/>
          <w:sz w:val="24"/>
          <w:szCs w:val="24"/>
          <w:lang w:val="en-GB"/>
        </w:rPr>
        <w:t>。</w:t>
      </w:r>
      <w:r>
        <w:rPr>
          <w:rFonts w:hint="eastAsia" w:ascii="Times New Roman" w:hAnsi="Times New Roman" w:eastAsia="宋体" w:cs="Times New Roman"/>
          <w:sz w:val="24"/>
          <w:szCs w:val="24"/>
        </w:rPr>
        <w:t>在参考国家标准的基础上，结合多粮酿造低度浓香型白酒的特性，填补了行业中25%vo1以下产品的质量要求的空白，因此</w:t>
      </w:r>
      <w:r>
        <w:rPr>
          <w:rFonts w:hint="eastAsia" w:ascii="Times New Roman" w:hAnsi="Times New Roman" w:eastAsia="宋体" w:cs="Times New Roman"/>
          <w:sz w:val="24"/>
          <w:szCs w:val="24"/>
          <w:lang w:val="en-GB"/>
        </w:rPr>
        <w:t>酒精度要求</w:t>
      </w:r>
      <w:r>
        <w:rPr>
          <w:rFonts w:hint="eastAsia" w:ascii="Times New Roman" w:hAnsi="Times New Roman" w:eastAsia="宋体" w:cs="Times New Roman"/>
          <w:sz w:val="24"/>
          <w:szCs w:val="24"/>
        </w:rPr>
        <w:t>18.0</w:t>
      </w:r>
      <w:r>
        <w:rPr>
          <w:rFonts w:hint="eastAsia" w:ascii="Times New Roman" w:hAnsi="Times New Roman" w:eastAsia="宋体" w:cs="Times New Roman"/>
          <w:sz w:val="24"/>
          <w:szCs w:val="24"/>
          <w:lang w:val="en-GB"/>
        </w:rPr>
        <w:t xml:space="preserve"> % vol~</w:t>
      </w:r>
      <w:r>
        <w:rPr>
          <w:rFonts w:hint="eastAsia" w:ascii="Times New Roman" w:hAnsi="Times New Roman" w:eastAsia="宋体" w:cs="Times New Roman"/>
          <w:sz w:val="24"/>
          <w:szCs w:val="24"/>
        </w:rPr>
        <w:t>40</w:t>
      </w:r>
      <w:r>
        <w:rPr>
          <w:rFonts w:hint="eastAsia" w:ascii="Times New Roman" w:hAnsi="Times New Roman" w:eastAsia="宋体" w:cs="Times New Roman"/>
          <w:sz w:val="24"/>
          <w:szCs w:val="24"/>
          <w:lang w:val="en-GB"/>
        </w:rPr>
        <w:t>.0 % vol</w:t>
      </w:r>
      <w:r>
        <w:rPr>
          <w:rFonts w:hint="eastAsia" w:ascii="Times New Roman" w:hAnsi="Times New Roman" w:eastAsia="宋体" w:cs="Times New Roman"/>
          <w:sz w:val="24"/>
          <w:szCs w:val="24"/>
          <w:lang w:val="en-GB" w:eastAsia="zh-CN"/>
        </w:rPr>
        <w:t>，</w:t>
      </w:r>
      <w:r>
        <w:rPr>
          <w:rFonts w:hint="eastAsia" w:ascii="Times New Roman" w:hAnsi="Times New Roman" w:eastAsia="宋体" w:cs="Times New Roman"/>
          <w:sz w:val="24"/>
          <w:szCs w:val="24"/>
          <w:lang w:val="en-US" w:eastAsia="zh-CN"/>
        </w:rPr>
        <w:t>包含</w:t>
      </w:r>
      <w:r>
        <w:rPr>
          <w:rFonts w:hint="eastAsia" w:ascii="Times New Roman" w:hAnsi="Times New Roman" w:eastAsia="宋体" w:cs="Times New Roman"/>
          <w:sz w:val="24"/>
          <w:szCs w:val="24"/>
        </w:rPr>
        <w:t>18.0</w:t>
      </w:r>
      <w:r>
        <w:rPr>
          <w:rFonts w:hint="eastAsia" w:ascii="Times New Roman" w:hAnsi="Times New Roman" w:eastAsia="宋体" w:cs="Times New Roman"/>
          <w:sz w:val="24"/>
          <w:szCs w:val="24"/>
          <w:lang w:val="en-GB"/>
        </w:rPr>
        <w:t xml:space="preserve"> % vol</w:t>
      </w:r>
      <w:r>
        <w:rPr>
          <w:rFonts w:hint="eastAsia" w:ascii="Times New Roman" w:hAnsi="Times New Roman" w:eastAsia="宋体" w:cs="Times New Roman"/>
          <w:sz w:val="24"/>
          <w:szCs w:val="24"/>
          <w:lang w:val="en-US" w:eastAsia="zh-CN"/>
        </w:rPr>
        <w:t>和</w:t>
      </w:r>
      <w:r>
        <w:rPr>
          <w:rFonts w:hint="eastAsia" w:ascii="Times New Roman" w:hAnsi="Times New Roman" w:eastAsia="宋体" w:cs="Times New Roman"/>
          <w:sz w:val="24"/>
          <w:szCs w:val="24"/>
        </w:rPr>
        <w:t>40</w:t>
      </w:r>
      <w:r>
        <w:rPr>
          <w:rFonts w:hint="eastAsia" w:ascii="Times New Roman" w:hAnsi="Times New Roman" w:eastAsia="宋体" w:cs="Times New Roman"/>
          <w:sz w:val="24"/>
          <w:szCs w:val="24"/>
          <w:lang w:val="en-GB"/>
        </w:rPr>
        <w:t>.0 % vol。</w:t>
      </w:r>
    </w:p>
    <w:p w14:paraId="6BFAA9CA">
      <w:pPr>
        <w:spacing w:line="480" w:lineRule="auto"/>
        <w:ind w:firstLine="482" w:firstLineChars="20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②酸酯总量</w:t>
      </w:r>
    </w:p>
    <w:p w14:paraId="0A509C6D">
      <w:pPr>
        <w:spacing w:line="360" w:lineRule="auto"/>
        <w:ind w:firstLine="480" w:firstLineChars="200"/>
        <w:rPr>
          <w:rFonts w:ascii="Times New Roman" w:hAnsi="Times New Roman" w:eastAsia="宋体" w:cs="Times New Roman"/>
          <w:sz w:val="24"/>
          <w:szCs w:val="24"/>
          <w:lang w:val="en-GB"/>
        </w:rPr>
      </w:pPr>
      <w:r>
        <w:rPr>
          <w:rFonts w:hint="eastAsia" w:ascii="Times New Roman" w:hAnsi="Times New Roman" w:eastAsia="宋体" w:cs="Times New Roman"/>
          <w:sz w:val="24"/>
          <w:szCs w:val="24"/>
          <w:lang w:val="en-GB"/>
        </w:rPr>
        <w:t>根据行业调研和样品分析情况，在自然条件下，白酒在贮存过程中发生着物理变化和化学变化，是一个动态平衡的过程。为客观、科学地体现白酒中酸酯平衡和酸类、酯类物质总量表征问题以及体现酸酯转化的客观现象，遵循产品的酸酯变化规律，为保证产品质量水平，白酒质量要求系列标准中，第 1 部分：浓香型白酒标准对产品按酸酯总量进行检测和判定。因此，为了体现</w:t>
      </w:r>
      <w:r>
        <w:rPr>
          <w:rFonts w:hint="eastAsia" w:ascii="Times New Roman" w:hAnsi="Times New Roman" w:eastAsia="宋体" w:cs="Times New Roman"/>
          <w:sz w:val="24"/>
          <w:szCs w:val="24"/>
        </w:rPr>
        <w:t>多粮酿造低度浓香型白酒</w:t>
      </w:r>
      <w:r>
        <w:rPr>
          <w:rFonts w:hint="eastAsia" w:ascii="Times New Roman" w:hAnsi="Times New Roman" w:eastAsia="宋体" w:cs="Times New Roman"/>
          <w:sz w:val="24"/>
          <w:szCs w:val="24"/>
          <w:lang w:val="en-GB"/>
        </w:rPr>
        <w:t>产品中酸酯平衡，本次标准制定中考虑对产品</w:t>
      </w:r>
      <w:r>
        <w:rPr>
          <w:rFonts w:hint="eastAsia" w:ascii="Times New Roman" w:hAnsi="Times New Roman" w:eastAsia="宋体" w:cs="Times New Roman"/>
          <w:sz w:val="24"/>
          <w:szCs w:val="24"/>
        </w:rPr>
        <w:t>的</w:t>
      </w:r>
      <w:r>
        <w:rPr>
          <w:rFonts w:hint="eastAsia" w:ascii="Times New Roman" w:hAnsi="Times New Roman" w:eastAsia="宋体" w:cs="Times New Roman"/>
          <w:sz w:val="24"/>
          <w:szCs w:val="24"/>
          <w:lang w:val="en-GB"/>
        </w:rPr>
        <w:t>酸酯总量进行要求。GB/T 10781.</w:t>
      </w:r>
      <w:r>
        <w:rPr>
          <w:rFonts w:hint="eastAsia" w:ascii="Times New Roman" w:hAnsi="Times New Roman" w:eastAsia="宋体" w:cs="Times New Roman"/>
          <w:sz w:val="24"/>
          <w:szCs w:val="24"/>
        </w:rPr>
        <w:t>1</w:t>
      </w:r>
      <w:r>
        <w:rPr>
          <w:rFonts w:hint="eastAsia" w:ascii="Times New Roman" w:hAnsi="Times New Roman" w:eastAsia="宋体" w:cs="Times New Roman"/>
          <w:sz w:val="24"/>
          <w:szCs w:val="24"/>
          <w:lang w:val="en-GB"/>
        </w:rPr>
        <w:t xml:space="preserve"> 《白酒质量要求 第</w:t>
      </w:r>
      <w:r>
        <w:rPr>
          <w:rFonts w:hint="eastAsia" w:ascii="Times New Roman" w:hAnsi="Times New Roman" w:eastAsia="宋体" w:cs="Times New Roman"/>
          <w:sz w:val="24"/>
          <w:szCs w:val="24"/>
        </w:rPr>
        <w:t>1</w:t>
      </w:r>
      <w:r>
        <w:rPr>
          <w:rFonts w:hint="eastAsia" w:ascii="Times New Roman" w:hAnsi="Times New Roman" w:eastAsia="宋体" w:cs="Times New Roman"/>
          <w:sz w:val="24"/>
          <w:szCs w:val="24"/>
          <w:lang w:val="en-GB"/>
        </w:rPr>
        <w:t>部分：</w:t>
      </w:r>
      <w:r>
        <w:rPr>
          <w:rFonts w:hint="eastAsia" w:ascii="Times New Roman" w:hAnsi="Times New Roman" w:eastAsia="宋体" w:cs="Times New Roman"/>
          <w:sz w:val="24"/>
          <w:szCs w:val="24"/>
        </w:rPr>
        <w:t>浓</w:t>
      </w:r>
      <w:r>
        <w:rPr>
          <w:rFonts w:hint="eastAsia" w:ascii="Times New Roman" w:hAnsi="Times New Roman" w:eastAsia="宋体" w:cs="Times New Roman"/>
          <w:sz w:val="24"/>
          <w:szCs w:val="24"/>
          <w:lang w:val="en-GB"/>
        </w:rPr>
        <w:t>香型白酒》中</w:t>
      </w:r>
      <w:r>
        <w:rPr>
          <w:rFonts w:hint="eastAsia" w:ascii="Times New Roman" w:hAnsi="Times New Roman" w:eastAsia="宋体" w:cs="Times New Roman"/>
          <w:sz w:val="24"/>
          <w:szCs w:val="24"/>
        </w:rPr>
        <w:t>低度酒要求优级</w:t>
      </w:r>
      <w:r>
        <w:rPr>
          <w:rFonts w:hint="eastAsia" w:ascii="Times New Roman" w:hAnsi="Times New Roman" w:eastAsia="宋体" w:cs="Times New Roman"/>
          <w:sz w:val="24"/>
          <w:szCs w:val="24"/>
          <w:lang w:val="en-GB"/>
        </w:rPr>
        <w:t>产品酸酯总量≥</w:t>
      </w:r>
      <w:r>
        <w:rPr>
          <w:rFonts w:hint="eastAsia" w:ascii="Times New Roman" w:hAnsi="Times New Roman" w:eastAsia="宋体" w:cs="Times New Roman"/>
          <w:sz w:val="24"/>
          <w:szCs w:val="24"/>
        </w:rPr>
        <w:t>25.0</w:t>
      </w:r>
      <w:r>
        <w:rPr>
          <w:rFonts w:hint="eastAsia" w:ascii="Times New Roman" w:hAnsi="Times New Roman" w:eastAsia="宋体" w:cs="Times New Roman"/>
          <w:sz w:val="24"/>
          <w:szCs w:val="24"/>
          <w:lang w:val="en-GB"/>
        </w:rPr>
        <w:t xml:space="preserve"> mmol/L；</w:t>
      </w:r>
      <w:r>
        <w:rPr>
          <w:rFonts w:hint="eastAsia" w:ascii="Times New Roman" w:hAnsi="Times New Roman" w:eastAsia="宋体" w:cs="Times New Roman"/>
          <w:sz w:val="24"/>
          <w:szCs w:val="24"/>
        </w:rPr>
        <w:t>一级</w:t>
      </w:r>
      <w:r>
        <w:rPr>
          <w:rFonts w:hint="eastAsia" w:ascii="Times New Roman" w:hAnsi="Times New Roman" w:eastAsia="宋体" w:cs="Times New Roman"/>
          <w:sz w:val="24"/>
          <w:szCs w:val="24"/>
          <w:lang w:val="en-GB"/>
        </w:rPr>
        <w:t>产品酸酯总量≥</w:t>
      </w:r>
      <w:r>
        <w:rPr>
          <w:rFonts w:hint="eastAsia" w:ascii="Times New Roman" w:hAnsi="Times New Roman" w:eastAsia="宋体" w:cs="Times New Roman"/>
          <w:sz w:val="24"/>
          <w:szCs w:val="24"/>
        </w:rPr>
        <w:t>20.0</w:t>
      </w:r>
      <w:r>
        <w:rPr>
          <w:rFonts w:hint="eastAsia" w:ascii="Times New Roman" w:hAnsi="Times New Roman" w:eastAsia="宋体" w:cs="Times New Roman"/>
          <w:sz w:val="24"/>
          <w:szCs w:val="24"/>
          <w:lang w:val="en-GB"/>
        </w:rPr>
        <w:t xml:space="preserve"> mmol/L。依据样品普查结果（见图</w:t>
      </w:r>
      <w:r>
        <w:rPr>
          <w:rFonts w:hint="eastAsia" w:ascii="Times New Roman" w:hAnsi="Times New Roman" w:eastAsia="宋体" w:cs="Times New Roman"/>
          <w:sz w:val="24"/>
          <w:szCs w:val="24"/>
        </w:rPr>
        <w:t>1</w:t>
      </w:r>
      <w:r>
        <w:rPr>
          <w:rFonts w:hint="eastAsia" w:ascii="Times New Roman" w:hAnsi="Times New Roman" w:eastAsia="宋体" w:cs="Times New Roman"/>
          <w:sz w:val="24"/>
          <w:szCs w:val="24"/>
          <w:lang w:val="en-GB"/>
        </w:rPr>
        <w:t>），</w:t>
      </w:r>
      <w:r>
        <w:rPr>
          <w:rFonts w:hint="eastAsia" w:ascii="Times New Roman" w:hAnsi="Times New Roman" w:eastAsia="宋体" w:cs="Times New Roman"/>
          <w:sz w:val="24"/>
          <w:szCs w:val="24"/>
        </w:rPr>
        <w:t>多粮酿造低度浓香型白酒</w:t>
      </w:r>
      <w:r>
        <w:rPr>
          <w:rFonts w:hint="eastAsia" w:ascii="Times New Roman" w:hAnsi="Times New Roman" w:eastAsia="宋体" w:cs="Times New Roman"/>
          <w:sz w:val="24"/>
          <w:szCs w:val="24"/>
          <w:lang w:val="en-GB"/>
        </w:rPr>
        <w:t>酸酯总量</w:t>
      </w:r>
      <w:r>
        <w:rPr>
          <w:rFonts w:hint="eastAsia" w:ascii="Times New Roman" w:hAnsi="Times New Roman" w:eastAsia="宋体" w:cs="Times New Roman"/>
          <w:sz w:val="24"/>
          <w:szCs w:val="24"/>
        </w:rPr>
        <w:t>均</w:t>
      </w:r>
      <w:r>
        <w:rPr>
          <w:rFonts w:hint="eastAsia" w:ascii="Times New Roman" w:hAnsi="Times New Roman" w:eastAsia="宋体" w:cs="Times New Roman"/>
          <w:sz w:val="24"/>
          <w:szCs w:val="24"/>
          <w:lang w:val="en-GB"/>
        </w:rPr>
        <w:t>在</w:t>
      </w:r>
      <w:r>
        <w:rPr>
          <w:rFonts w:hint="eastAsia" w:ascii="Times New Roman" w:hAnsi="Times New Roman" w:eastAsia="宋体" w:cs="Times New Roman"/>
          <w:sz w:val="24"/>
          <w:szCs w:val="24"/>
        </w:rPr>
        <w:t>25.0</w:t>
      </w:r>
      <w:r>
        <w:rPr>
          <w:rFonts w:hint="eastAsia" w:ascii="Times New Roman" w:hAnsi="Times New Roman" w:eastAsia="宋体" w:cs="Times New Roman"/>
          <w:sz w:val="24"/>
          <w:szCs w:val="24"/>
          <w:lang w:val="en-GB"/>
        </w:rPr>
        <w:t xml:space="preserve">mmol/L </w:t>
      </w:r>
      <w:r>
        <w:rPr>
          <w:rFonts w:hint="eastAsia" w:ascii="Times New Roman" w:hAnsi="Times New Roman" w:eastAsia="宋体" w:cs="Times New Roman"/>
          <w:sz w:val="24"/>
          <w:szCs w:val="24"/>
        </w:rPr>
        <w:t>以上</w:t>
      </w:r>
      <w:r>
        <w:rPr>
          <w:rFonts w:hint="eastAsia" w:ascii="Times New Roman" w:hAnsi="Times New Roman" w:eastAsia="宋体" w:cs="Times New Roman"/>
          <w:sz w:val="24"/>
          <w:szCs w:val="24"/>
          <w:lang w:val="en-GB"/>
        </w:rPr>
        <w:t>。因此，依据产品特性，酸酯总量要求≥</w:t>
      </w:r>
      <w:r>
        <w:rPr>
          <w:rFonts w:hint="eastAsia" w:ascii="Times New Roman" w:hAnsi="Times New Roman" w:eastAsia="宋体" w:cs="Times New Roman"/>
          <w:sz w:val="24"/>
          <w:szCs w:val="24"/>
        </w:rPr>
        <w:t>25</w:t>
      </w:r>
      <w:r>
        <w:rPr>
          <w:rFonts w:hint="eastAsia" w:ascii="Times New Roman" w:hAnsi="Times New Roman" w:eastAsia="宋体" w:cs="Times New Roman"/>
          <w:sz w:val="24"/>
          <w:szCs w:val="24"/>
          <w:lang w:val="en-GB"/>
        </w:rPr>
        <w:t>.0mmol/L，</w:t>
      </w:r>
      <w:r>
        <w:rPr>
          <w:rFonts w:hint="eastAsia" w:ascii="Times New Roman" w:hAnsi="Times New Roman" w:eastAsia="宋体" w:cs="Times New Roman"/>
          <w:sz w:val="24"/>
          <w:szCs w:val="24"/>
        </w:rPr>
        <w:t>与</w:t>
      </w:r>
      <w:r>
        <w:rPr>
          <w:rFonts w:hint="eastAsia" w:ascii="Times New Roman" w:hAnsi="Times New Roman" w:eastAsia="宋体" w:cs="Times New Roman"/>
          <w:sz w:val="24"/>
          <w:szCs w:val="24"/>
          <w:lang w:val="en-GB"/>
        </w:rPr>
        <w:t>GB/T 10781.</w:t>
      </w:r>
      <w:r>
        <w:rPr>
          <w:rFonts w:hint="eastAsia" w:ascii="Times New Roman" w:hAnsi="Times New Roman" w:eastAsia="宋体" w:cs="Times New Roman"/>
          <w:sz w:val="24"/>
          <w:szCs w:val="24"/>
        </w:rPr>
        <w:t>1低度酒优级</w:t>
      </w:r>
      <w:r>
        <w:rPr>
          <w:rFonts w:hint="eastAsia" w:ascii="Times New Roman" w:hAnsi="Times New Roman" w:eastAsia="宋体" w:cs="Times New Roman"/>
          <w:sz w:val="24"/>
          <w:szCs w:val="24"/>
          <w:lang w:val="en-GB"/>
        </w:rPr>
        <w:t>对应指标要求</w:t>
      </w:r>
      <w:r>
        <w:rPr>
          <w:rFonts w:hint="eastAsia" w:ascii="Times New Roman" w:hAnsi="Times New Roman" w:eastAsia="宋体" w:cs="Times New Roman"/>
          <w:sz w:val="24"/>
          <w:szCs w:val="24"/>
        </w:rPr>
        <w:t>保持一致</w:t>
      </w:r>
      <w:r>
        <w:rPr>
          <w:rFonts w:hint="eastAsia" w:ascii="Times New Roman" w:hAnsi="Times New Roman" w:eastAsia="宋体" w:cs="Times New Roman"/>
          <w:sz w:val="24"/>
          <w:szCs w:val="24"/>
          <w:lang w:val="en-GB"/>
        </w:rPr>
        <w:t>。</w:t>
      </w:r>
    </w:p>
    <w:p w14:paraId="518DC6C1">
      <w:pPr>
        <w:adjustRightInd w:val="0"/>
        <w:snapToGrid w:val="0"/>
        <w:spacing w:line="360" w:lineRule="auto"/>
        <w:ind w:firstLine="480" w:firstLineChars="200"/>
        <w:jc w:val="center"/>
        <w:rPr>
          <w:rFonts w:ascii="Times New Roman" w:hAnsi="Times New Roman" w:eastAsia="宋体" w:cs="Times New Roman"/>
          <w:sz w:val="24"/>
          <w:szCs w:val="24"/>
          <w:highlight w:val="yellow"/>
          <w:lang w:val="en-GB"/>
        </w:rPr>
      </w:pPr>
      <w:r>
        <w:rPr>
          <w:rFonts w:hint="eastAsia"/>
          <w:sz w:val="24"/>
        </w:rPr>
        <w:drawing>
          <wp:inline distT="0" distB="0" distL="114300" distR="114300">
            <wp:extent cx="5271770" cy="2136140"/>
            <wp:effectExtent l="0" t="0" r="5080" b="165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1770" cy="2136140"/>
                    </a:xfrm>
                    <a:prstGeom prst="rect">
                      <a:avLst/>
                    </a:prstGeom>
                    <a:noFill/>
                    <a:ln>
                      <a:noFill/>
                    </a:ln>
                  </pic:spPr>
                </pic:pic>
              </a:graphicData>
            </a:graphic>
          </wp:inline>
        </w:drawing>
      </w:r>
      <w:r>
        <w:rPr>
          <w:rFonts w:hint="eastAsia" w:ascii="Times New Roman" w:hAnsi="Times New Roman" w:eastAsia="宋体" w:cs="Times New Roman"/>
          <w:sz w:val="24"/>
          <w:szCs w:val="24"/>
          <w:lang w:val="en-GB"/>
        </w:rPr>
        <w:t>图1 样品中酸酯总量分布图</w:t>
      </w:r>
    </w:p>
    <w:p w14:paraId="470ECD0E">
      <w:pPr>
        <w:spacing w:line="480" w:lineRule="auto"/>
        <w:ind w:firstLine="482" w:firstLineChars="20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③己酸+己酸乙酯</w:t>
      </w:r>
    </w:p>
    <w:p w14:paraId="1DDD5DFE">
      <w:pPr>
        <w:spacing w:line="360" w:lineRule="auto"/>
        <w:ind w:firstLine="480" w:firstLineChars="200"/>
        <w:rPr>
          <w:rFonts w:ascii="Times New Roman" w:hAnsi="Times New Roman" w:eastAsia="宋体" w:cs="Times New Roman"/>
          <w:sz w:val="24"/>
          <w:szCs w:val="24"/>
          <w:lang w:val="en-GB"/>
        </w:rPr>
      </w:pPr>
      <w:r>
        <w:rPr>
          <w:rFonts w:hint="eastAsia" w:ascii="Times New Roman" w:hAnsi="Times New Roman" w:eastAsia="宋体" w:cs="Times New Roman"/>
          <w:sz w:val="24"/>
          <w:szCs w:val="24"/>
          <w:lang w:val="en-GB"/>
        </w:rPr>
        <w:t>己酸乙酯是浓香型白酒主要代表的酯类物质之一，己酸乙酯与己酸会发生相互转化，</w:t>
      </w:r>
      <w:r>
        <w:rPr>
          <w:rFonts w:hint="eastAsia" w:ascii="Times New Roman" w:hAnsi="Times New Roman" w:eastAsia="宋体" w:cs="Times New Roman"/>
          <w:sz w:val="24"/>
          <w:szCs w:val="24"/>
        </w:rPr>
        <w:t>参考</w:t>
      </w:r>
      <w:r>
        <w:rPr>
          <w:rFonts w:hint="eastAsia" w:ascii="Times New Roman" w:hAnsi="Times New Roman" w:eastAsia="宋体" w:cs="Times New Roman"/>
          <w:sz w:val="24"/>
          <w:szCs w:val="24"/>
          <w:lang w:val="en-GB"/>
        </w:rPr>
        <w:t>GB/T 10781.</w:t>
      </w:r>
      <w:r>
        <w:rPr>
          <w:rFonts w:hint="eastAsia" w:ascii="Times New Roman" w:hAnsi="Times New Roman" w:eastAsia="宋体" w:cs="Times New Roman"/>
          <w:sz w:val="24"/>
          <w:szCs w:val="24"/>
        </w:rPr>
        <w:t>1</w:t>
      </w:r>
      <w:r>
        <w:rPr>
          <w:rFonts w:hint="eastAsia" w:ascii="Times New Roman" w:hAnsi="Times New Roman" w:eastAsia="宋体" w:cs="Times New Roman"/>
          <w:sz w:val="24"/>
          <w:szCs w:val="24"/>
          <w:lang w:val="en-GB"/>
        </w:rPr>
        <w:t xml:space="preserve"> 《白酒质量要求 第</w:t>
      </w:r>
      <w:r>
        <w:rPr>
          <w:rFonts w:hint="eastAsia" w:ascii="Times New Roman" w:hAnsi="Times New Roman" w:eastAsia="宋体" w:cs="Times New Roman"/>
          <w:sz w:val="24"/>
          <w:szCs w:val="24"/>
        </w:rPr>
        <w:t>1</w:t>
      </w:r>
      <w:r>
        <w:rPr>
          <w:rFonts w:hint="eastAsia" w:ascii="Times New Roman" w:hAnsi="Times New Roman" w:eastAsia="宋体" w:cs="Times New Roman"/>
          <w:sz w:val="24"/>
          <w:szCs w:val="24"/>
          <w:lang w:val="en-GB"/>
        </w:rPr>
        <w:t>部分：</w:t>
      </w:r>
      <w:r>
        <w:rPr>
          <w:rFonts w:hint="eastAsia" w:ascii="Times New Roman" w:hAnsi="Times New Roman" w:eastAsia="宋体" w:cs="Times New Roman"/>
          <w:sz w:val="24"/>
          <w:szCs w:val="24"/>
        </w:rPr>
        <w:t>浓</w:t>
      </w:r>
      <w:r>
        <w:rPr>
          <w:rFonts w:hint="eastAsia" w:ascii="Times New Roman" w:hAnsi="Times New Roman" w:eastAsia="宋体" w:cs="Times New Roman"/>
          <w:sz w:val="24"/>
          <w:szCs w:val="24"/>
          <w:lang w:val="en-GB"/>
        </w:rPr>
        <w:t>香型白酒》，本</w:t>
      </w:r>
      <w:r>
        <w:rPr>
          <w:rFonts w:hint="eastAsia" w:ascii="Times New Roman" w:hAnsi="Times New Roman" w:eastAsia="宋体" w:cs="Times New Roman"/>
          <w:sz w:val="24"/>
          <w:szCs w:val="24"/>
        </w:rPr>
        <w:t>标准</w:t>
      </w:r>
      <w:r>
        <w:rPr>
          <w:rFonts w:hint="eastAsia" w:ascii="Times New Roman" w:hAnsi="Times New Roman" w:eastAsia="宋体" w:cs="Times New Roman"/>
          <w:sz w:val="24"/>
          <w:szCs w:val="24"/>
          <w:lang w:val="en-GB"/>
        </w:rPr>
        <w:t>将己酸和己酸乙酯的含量进行合并</w:t>
      </w:r>
      <w:r>
        <w:rPr>
          <w:rFonts w:hint="eastAsia" w:ascii="Times New Roman" w:hAnsi="Times New Roman" w:eastAsia="宋体" w:cs="Times New Roman"/>
          <w:sz w:val="24"/>
          <w:szCs w:val="24"/>
        </w:rPr>
        <w:t>要求</w:t>
      </w:r>
      <w:r>
        <w:rPr>
          <w:rFonts w:hint="eastAsia" w:ascii="Times New Roman" w:hAnsi="Times New Roman" w:eastAsia="宋体" w:cs="Times New Roman"/>
          <w:sz w:val="24"/>
          <w:szCs w:val="24"/>
          <w:lang w:val="en-GB"/>
        </w:rPr>
        <w:t>。GB/T10781.1—2021中规定的</w:t>
      </w:r>
      <w:r>
        <w:rPr>
          <w:rFonts w:hint="eastAsia" w:ascii="Times New Roman" w:hAnsi="Times New Roman" w:eastAsia="宋体" w:cs="Times New Roman"/>
          <w:sz w:val="24"/>
          <w:szCs w:val="24"/>
        </w:rPr>
        <w:t>低度酒的优</w:t>
      </w:r>
      <w:r>
        <w:rPr>
          <w:rFonts w:hint="eastAsia" w:ascii="Times New Roman" w:hAnsi="Times New Roman" w:eastAsia="宋体" w:cs="Times New Roman"/>
          <w:sz w:val="24"/>
          <w:szCs w:val="24"/>
          <w:lang w:val="en-GB"/>
        </w:rPr>
        <w:t>级产品己酸</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lang w:val="en-GB"/>
        </w:rPr>
        <w:t>己酸乙酯≥0.</w:t>
      </w:r>
      <w:r>
        <w:rPr>
          <w:rFonts w:hint="eastAsia" w:ascii="Times New Roman" w:hAnsi="Times New Roman" w:eastAsia="宋体" w:cs="Times New Roman"/>
          <w:sz w:val="24"/>
          <w:szCs w:val="24"/>
        </w:rPr>
        <w:t>80</w:t>
      </w:r>
      <w:r>
        <w:rPr>
          <w:rFonts w:hint="eastAsia" w:ascii="Times New Roman" w:hAnsi="Times New Roman" w:eastAsia="宋体" w:cs="Times New Roman"/>
          <w:sz w:val="24"/>
          <w:szCs w:val="24"/>
          <w:lang w:val="en-GB"/>
        </w:rPr>
        <w:t xml:space="preserve"> g/L；</w:t>
      </w:r>
      <w:r>
        <w:rPr>
          <w:rFonts w:hint="eastAsia" w:ascii="Times New Roman" w:hAnsi="Times New Roman" w:eastAsia="宋体" w:cs="Times New Roman"/>
          <w:sz w:val="24"/>
          <w:szCs w:val="24"/>
        </w:rPr>
        <w:t>一</w:t>
      </w:r>
      <w:r>
        <w:rPr>
          <w:rFonts w:hint="eastAsia" w:ascii="Times New Roman" w:hAnsi="Times New Roman" w:eastAsia="宋体" w:cs="Times New Roman"/>
          <w:sz w:val="24"/>
          <w:szCs w:val="24"/>
          <w:lang w:val="en-GB"/>
        </w:rPr>
        <w:t>级产品≥0.</w:t>
      </w:r>
      <w:r>
        <w:rPr>
          <w:rFonts w:hint="eastAsia" w:ascii="Times New Roman" w:hAnsi="Times New Roman" w:eastAsia="宋体" w:cs="Times New Roman"/>
          <w:sz w:val="24"/>
          <w:szCs w:val="24"/>
        </w:rPr>
        <w:t>50</w:t>
      </w:r>
      <w:r>
        <w:rPr>
          <w:rFonts w:hint="eastAsia" w:ascii="Times New Roman" w:hAnsi="Times New Roman" w:eastAsia="宋体" w:cs="Times New Roman"/>
          <w:sz w:val="24"/>
          <w:szCs w:val="24"/>
          <w:lang w:val="en-GB"/>
        </w:rPr>
        <w:t xml:space="preserve"> g/L。依据样品普查结果（见图2），依据产品特性，酸酯总量要求为≥</w:t>
      </w:r>
      <w:r>
        <w:rPr>
          <w:rFonts w:hint="eastAsia" w:ascii="Times New Roman" w:hAnsi="Times New Roman" w:eastAsia="宋体" w:cs="Times New Roman"/>
          <w:sz w:val="24"/>
          <w:szCs w:val="24"/>
        </w:rPr>
        <w:t>0.8</w:t>
      </w:r>
      <w:r>
        <w:rPr>
          <w:rFonts w:hint="eastAsia" w:ascii="Times New Roman" w:hAnsi="Times New Roman" w:eastAsia="宋体" w:cs="Times New Roman"/>
          <w:sz w:val="24"/>
          <w:szCs w:val="24"/>
          <w:lang w:val="en-GB"/>
        </w:rPr>
        <w:t>0</w:t>
      </w:r>
      <w:r>
        <w:rPr>
          <w:rFonts w:hint="eastAsia" w:ascii="Times New Roman" w:hAnsi="Times New Roman" w:eastAsia="宋体" w:cs="Times New Roman"/>
          <w:sz w:val="24"/>
          <w:szCs w:val="24"/>
        </w:rPr>
        <w:t>g</w:t>
      </w:r>
      <w:r>
        <w:rPr>
          <w:rFonts w:hint="eastAsia" w:ascii="Times New Roman" w:hAnsi="Times New Roman" w:eastAsia="宋体" w:cs="Times New Roman"/>
          <w:sz w:val="24"/>
          <w:szCs w:val="24"/>
          <w:lang w:val="en-GB"/>
        </w:rPr>
        <w:t>/L，</w:t>
      </w:r>
      <w:r>
        <w:rPr>
          <w:rFonts w:hint="eastAsia" w:ascii="Times New Roman" w:hAnsi="Times New Roman" w:eastAsia="宋体" w:cs="Times New Roman"/>
          <w:sz w:val="24"/>
          <w:szCs w:val="24"/>
        </w:rPr>
        <w:t>与</w:t>
      </w:r>
      <w:r>
        <w:rPr>
          <w:rFonts w:hint="eastAsia" w:ascii="Times New Roman" w:hAnsi="Times New Roman" w:eastAsia="宋体" w:cs="Times New Roman"/>
          <w:sz w:val="24"/>
          <w:szCs w:val="24"/>
          <w:lang w:val="en-GB"/>
        </w:rPr>
        <w:t>GB/T 10781.</w:t>
      </w:r>
      <w:r>
        <w:rPr>
          <w:rFonts w:hint="eastAsia" w:ascii="Times New Roman" w:hAnsi="Times New Roman" w:eastAsia="宋体" w:cs="Times New Roman"/>
          <w:sz w:val="24"/>
          <w:szCs w:val="24"/>
        </w:rPr>
        <w:t>1低度酒优级</w:t>
      </w:r>
      <w:r>
        <w:rPr>
          <w:rFonts w:hint="eastAsia" w:ascii="Times New Roman" w:hAnsi="Times New Roman" w:eastAsia="宋体" w:cs="Times New Roman"/>
          <w:sz w:val="24"/>
          <w:szCs w:val="24"/>
          <w:lang w:val="en-GB"/>
        </w:rPr>
        <w:t>对应指标要求</w:t>
      </w:r>
      <w:r>
        <w:rPr>
          <w:rFonts w:hint="eastAsia" w:ascii="Times New Roman" w:hAnsi="Times New Roman" w:eastAsia="宋体" w:cs="Times New Roman"/>
          <w:sz w:val="24"/>
          <w:szCs w:val="24"/>
        </w:rPr>
        <w:t>保持一致</w:t>
      </w:r>
      <w:r>
        <w:rPr>
          <w:rFonts w:hint="eastAsia" w:ascii="Times New Roman" w:hAnsi="Times New Roman" w:eastAsia="宋体" w:cs="Times New Roman"/>
          <w:sz w:val="24"/>
          <w:szCs w:val="24"/>
          <w:lang w:val="en-GB"/>
        </w:rPr>
        <w:t>。</w:t>
      </w:r>
    </w:p>
    <w:p w14:paraId="506B8CD3">
      <w:pPr>
        <w:adjustRightInd w:val="0"/>
        <w:snapToGrid w:val="0"/>
        <w:spacing w:line="360" w:lineRule="auto"/>
        <w:ind w:firstLine="480" w:firstLineChars="200"/>
        <w:rPr>
          <w:sz w:val="24"/>
        </w:rPr>
      </w:pPr>
      <w:r>
        <w:rPr>
          <w:rFonts w:hint="eastAsia"/>
          <w:sz w:val="24"/>
        </w:rPr>
        <w:drawing>
          <wp:inline distT="0" distB="0" distL="114300" distR="114300">
            <wp:extent cx="5274310" cy="2157095"/>
            <wp:effectExtent l="0" t="0" r="2540"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74310" cy="2157095"/>
                    </a:xfrm>
                    <a:prstGeom prst="rect">
                      <a:avLst/>
                    </a:prstGeom>
                    <a:noFill/>
                    <a:ln>
                      <a:noFill/>
                    </a:ln>
                  </pic:spPr>
                </pic:pic>
              </a:graphicData>
            </a:graphic>
          </wp:inline>
        </w:drawing>
      </w:r>
    </w:p>
    <w:p w14:paraId="4906534B">
      <w:pPr>
        <w:adjustRightInd w:val="0"/>
        <w:snapToGrid w:val="0"/>
        <w:spacing w:line="360" w:lineRule="auto"/>
        <w:ind w:firstLine="480" w:firstLineChars="200"/>
        <w:jc w:val="center"/>
        <w:rPr>
          <w:rFonts w:ascii="Times New Roman" w:hAnsi="Times New Roman" w:eastAsia="宋体" w:cs="Times New Roman"/>
          <w:sz w:val="24"/>
          <w:szCs w:val="24"/>
          <w:lang w:val="en-GB"/>
        </w:rPr>
      </w:pPr>
      <w:r>
        <w:rPr>
          <w:rFonts w:hint="eastAsia" w:ascii="Times New Roman" w:hAnsi="Times New Roman" w:eastAsia="宋体" w:cs="Times New Roman"/>
          <w:sz w:val="24"/>
          <w:szCs w:val="24"/>
          <w:lang w:val="en-GB"/>
        </w:rPr>
        <w:t>图2 样品中己酸+己酸乙酯分布图</w:t>
      </w:r>
    </w:p>
    <w:p w14:paraId="12B63985">
      <w:pPr>
        <w:numPr>
          <w:ilvl w:val="0"/>
          <w:numId w:val="5"/>
        </w:numP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试验方法</w:t>
      </w:r>
    </w:p>
    <w:p w14:paraId="73C94B8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lang w:val="en-GB"/>
        </w:rPr>
        <w:t>感官、酸酯总量、己酸+己酸乙酯要求按GB/T 10345《白酒分析方法》的规定执行；酒精度</w:t>
      </w:r>
      <w:r>
        <w:rPr>
          <w:rFonts w:hint="eastAsia" w:ascii="Times New Roman" w:hAnsi="Times New Roman" w:eastAsia="宋体" w:cs="Times New Roman"/>
          <w:sz w:val="24"/>
          <w:szCs w:val="24"/>
        </w:rPr>
        <w:t>按</w:t>
      </w:r>
      <w:r>
        <w:rPr>
          <w:rFonts w:hint="eastAsia" w:ascii="Times New Roman" w:hAnsi="Times New Roman" w:eastAsia="宋体" w:cs="Times New Roman"/>
          <w:sz w:val="24"/>
          <w:szCs w:val="24"/>
          <w:lang w:val="en-GB"/>
        </w:rPr>
        <w:t>GB 5009.225《食品安全国家标准 酒和食用酒精中乙醇浓度的测定》的规定执行；净含量按JJF 1070 《定量包装商品净含量计量检验规则》的规定执行。</w:t>
      </w:r>
    </w:p>
    <w:p w14:paraId="0C644ED2">
      <w:pPr>
        <w:numPr>
          <w:ilvl w:val="0"/>
          <w:numId w:val="5"/>
        </w:numPr>
        <w:spacing w:line="480" w:lineRule="auto"/>
        <w:rPr>
          <w:rFonts w:ascii="Times New Roman" w:hAnsi="Times New Roman" w:eastAsia="宋体" w:cs="Times New Roman"/>
          <w:b/>
          <w:bCs/>
          <w:sz w:val="24"/>
          <w:szCs w:val="24"/>
        </w:rPr>
      </w:pPr>
      <w:bookmarkStart w:id="2" w:name="_Toc21592204"/>
      <w:bookmarkStart w:id="3" w:name="_Toc19869959"/>
      <w:r>
        <w:rPr>
          <w:rFonts w:hint="eastAsia" w:ascii="Times New Roman" w:hAnsi="Times New Roman" w:eastAsia="宋体" w:cs="Times New Roman"/>
          <w:b/>
          <w:bCs/>
          <w:sz w:val="24"/>
          <w:szCs w:val="24"/>
        </w:rPr>
        <w:t>检验规则和标志、包装、运输、贮存</w:t>
      </w:r>
      <w:bookmarkEnd w:id="2"/>
      <w:bookmarkEnd w:id="3"/>
    </w:p>
    <w:p w14:paraId="7F3085A8">
      <w:pPr>
        <w:spacing w:line="360" w:lineRule="auto"/>
        <w:ind w:firstLine="480" w:firstLineChars="200"/>
        <w:rPr>
          <w:rFonts w:ascii="Times New Roman" w:hAnsi="Times New Roman" w:eastAsia="宋体" w:cs="Times New Roman"/>
          <w:sz w:val="24"/>
          <w:szCs w:val="24"/>
          <w:lang w:val="en-GB"/>
        </w:rPr>
      </w:pPr>
      <w:r>
        <w:rPr>
          <w:rFonts w:hint="eastAsia" w:ascii="Times New Roman" w:hAnsi="Times New Roman" w:eastAsia="宋体" w:cs="Times New Roman"/>
          <w:sz w:val="24"/>
          <w:szCs w:val="24"/>
          <w:lang w:val="en-GB"/>
        </w:rPr>
        <w:t>检验规则和标志、包装、运输、贮存按GB/T 10346执行。标签按GB 2757和GB 7718执行，酒精度实测值与标签标示值允许差为±1.0%voI。</w:t>
      </w:r>
    </w:p>
    <w:p w14:paraId="03848727">
      <w:pPr>
        <w:numPr>
          <w:ilvl w:val="0"/>
          <w:numId w:val="5"/>
        </w:numPr>
        <w:spacing w:line="480" w:lineRule="auto"/>
        <w:rPr>
          <w:rFonts w:ascii="Times New Roman" w:hAnsi="Times New Roman" w:eastAsia="宋体" w:cs="Times New Roman"/>
          <w:b/>
          <w:bCs/>
          <w:sz w:val="24"/>
          <w:szCs w:val="24"/>
        </w:rPr>
      </w:pPr>
      <w:r>
        <w:rPr>
          <w:rFonts w:hint="eastAsia"/>
          <w:b/>
          <w:bCs/>
          <w:sz w:val="24"/>
        </w:rPr>
        <w:t>资料性附录</w:t>
      </w:r>
      <w:r>
        <w:rPr>
          <w:rFonts w:hint="eastAsia" w:ascii="Times New Roman" w:hAnsi="Times New Roman" w:eastAsia="宋体" w:cs="Times New Roman"/>
          <w:b/>
          <w:bCs/>
          <w:sz w:val="24"/>
          <w:szCs w:val="24"/>
        </w:rPr>
        <w:t xml:space="preserve">A </w:t>
      </w:r>
    </w:p>
    <w:p w14:paraId="294BAB2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风味轮描述术语体系的建立，使酒类的感官评价和交流有了可依据的标准。结合现代感官研究和标准方法，国际的著名酒种（葡萄酒、啤酒、威士忌、白兰地等）在感官评价中，普遍建立了风味轮（Flavour Wheel）描述语体系，它实际上是评价酒类风味特征的一套标准描述术语，为使用方便，按照类型归类整理成圆盘形状。内圈为宏观分类的风味描述词（如曲香、果香、木香等），外圈为具体的描述词（如烘焙香、麦香等）。</w:t>
      </w:r>
    </w:p>
    <w:p w14:paraId="56F1F45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参考GBT 33405-2016 《白酒感官品评术语》，结合国际酒类风味轮术语体系，以多粮酿造浓香型低度白酒的实际感官品评结果为依据，建立了多粮酿造浓香型低度白酒风味轮术语</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该风味轮第一层由香气、口感、口味组成，第二层香气包含曲香、窖香、多粮香三个维度，第三层曲香对应了四种属性，分别是烘焙香、玫瑰香、菠萝香、麦香；窖香对应了三种属性，分别是糟香、蜜香、坚果香；多粮香对应了三种属性，分别是高粱香、粮香、大米香。口感对应了柔和度、丰满度、纯净度、持久度、协调度五种属性，口味对应了绵甜、柔顺、醇和三种属性。该风味轮</w:t>
      </w:r>
      <w:r>
        <w:rPr>
          <w:rFonts w:hint="eastAsia" w:ascii="Times New Roman" w:hAnsi="Times New Roman" w:eastAsia="宋体" w:cs="Times New Roman"/>
          <w:sz w:val="24"/>
          <w:szCs w:val="24"/>
        </w:rPr>
        <w:t>便于行业品评人员、一般消费者包括国际消费者了解认识多粮酿造浓香型低度白酒的风味特征，对推动多粮酿造浓香型低度白酒品评文化的宣传具有重要意义。</w:t>
      </w:r>
    </w:p>
    <w:p w14:paraId="1B38CE5C">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四、标准中涉及的专利</w:t>
      </w:r>
    </w:p>
    <w:p w14:paraId="6D515DD6">
      <w:pPr>
        <w:spacing w:line="48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无。</w:t>
      </w:r>
    </w:p>
    <w:p w14:paraId="6589C058">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五、采用国际标准和国外先进标准的程度，以及与国际、国外同类标准水平的对比情况，或与测试的国外样品、样机的有关数据对比情况。</w:t>
      </w:r>
    </w:p>
    <w:p w14:paraId="70A4D57E">
      <w:pPr>
        <w:spacing w:line="48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无。</w:t>
      </w:r>
    </w:p>
    <w:p w14:paraId="7E9F47B1">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六、与有关的现行</w:t>
      </w:r>
      <w:r>
        <w:rPr>
          <w:rFonts w:hint="eastAsia" w:ascii="Times New Roman" w:hAnsi="Times New Roman" w:eastAsia="宋体" w:cs="Times New Roman"/>
          <w:b/>
          <w:bCs/>
          <w:sz w:val="24"/>
          <w:szCs w:val="24"/>
        </w:rPr>
        <w:t>法律法规</w:t>
      </w:r>
      <w:r>
        <w:rPr>
          <w:rFonts w:ascii="Times New Roman" w:hAnsi="Times New Roman" w:eastAsia="宋体" w:cs="Times New Roman"/>
          <w:b/>
          <w:bCs/>
          <w:sz w:val="24"/>
          <w:szCs w:val="24"/>
        </w:rPr>
        <w:t>和强制性国家标准的关系</w:t>
      </w:r>
    </w:p>
    <w:p w14:paraId="3F8E5A7F">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本标准从我国</w:t>
      </w:r>
      <w:r>
        <w:rPr>
          <w:rFonts w:hint="eastAsia" w:ascii="Times New Roman" w:hAnsi="Times New Roman" w:eastAsia="宋体" w:cs="Times New Roman"/>
          <w:sz w:val="24"/>
          <w:szCs w:val="24"/>
        </w:rPr>
        <w:t>白</w:t>
      </w:r>
      <w:r>
        <w:rPr>
          <w:rFonts w:ascii="Times New Roman" w:hAnsi="Times New Roman" w:eastAsia="宋体" w:cs="Times New Roman"/>
          <w:sz w:val="24"/>
          <w:szCs w:val="24"/>
        </w:rPr>
        <w:t>酒行业的实际情况出发，参考了国内外相关资料，体现了科学性、先进性和可操作性原则，在制定过程中充分考虑国内相关的法规要求，并结合酒行业的特点；与现行</w:t>
      </w:r>
      <w:r>
        <w:rPr>
          <w:rFonts w:hint="eastAsia" w:ascii="Times New Roman" w:hAnsi="Times New Roman" w:eastAsia="宋体" w:cs="Times New Roman"/>
          <w:sz w:val="24"/>
          <w:szCs w:val="24"/>
        </w:rPr>
        <w:t>法律法规</w:t>
      </w:r>
      <w:r>
        <w:rPr>
          <w:rFonts w:ascii="Times New Roman" w:hAnsi="Times New Roman" w:eastAsia="宋体" w:cs="Times New Roman"/>
          <w:sz w:val="24"/>
          <w:szCs w:val="24"/>
        </w:rPr>
        <w:t>和强制性国家标准协调一致。</w:t>
      </w:r>
    </w:p>
    <w:p w14:paraId="53328417">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七、重大分歧意见的处理经过和依据</w:t>
      </w:r>
    </w:p>
    <w:p w14:paraId="54024AE9">
      <w:pPr>
        <w:spacing w:line="48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无重大分歧意见。</w:t>
      </w:r>
    </w:p>
    <w:p w14:paraId="77009D57">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八、贯彻团体标准的要求和措施建议（包括组织措施、技术措施、过渡办法等内容）</w:t>
      </w:r>
    </w:p>
    <w:p w14:paraId="6DA1047E">
      <w:pPr>
        <w:spacing w:line="360" w:lineRule="auto"/>
        <w:ind w:firstLine="480" w:firstLineChars="200"/>
        <w:rPr>
          <w:rFonts w:ascii="Times New Roman" w:hAnsi="Times New Roman" w:eastAsia="宋体" w:cs="Times New Roman"/>
          <w:sz w:val="24"/>
          <w:szCs w:val="24"/>
        </w:rPr>
      </w:pPr>
      <w:bookmarkStart w:id="4" w:name="_Hlk86399637"/>
      <w:r>
        <w:rPr>
          <w:rFonts w:ascii="Times New Roman" w:hAnsi="Times New Roman" w:eastAsia="宋体" w:cs="Times New Roman"/>
          <w:sz w:val="24"/>
          <w:szCs w:val="24"/>
        </w:rPr>
        <w:t>建议本标准审核、批准发布后实施，由归口单位组织行业相关单位积极开展宣贯工作，在行业内进行推广。</w:t>
      </w:r>
    </w:p>
    <w:bookmarkEnd w:id="4"/>
    <w:p w14:paraId="55365992">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九、废止现行相关标准的建议</w:t>
      </w:r>
    </w:p>
    <w:p w14:paraId="2117235D">
      <w:pPr>
        <w:spacing w:line="48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无。</w:t>
      </w:r>
    </w:p>
    <w:p w14:paraId="0FB45ACA">
      <w:pPr>
        <w:spacing w:line="48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十、其他需要说明的问题</w:t>
      </w:r>
    </w:p>
    <w:p w14:paraId="3321C862">
      <w:pPr>
        <w:spacing w:line="360" w:lineRule="auto"/>
        <w:ind w:firstLine="480" w:firstLineChars="200"/>
        <w:rPr>
          <w:rFonts w:hint="eastAsia" w:ascii="Segoe UI" w:hAnsi="Segoe UI" w:eastAsia="宋体" w:cs="Segoe UI"/>
          <w:i w:val="0"/>
          <w:iCs w:val="0"/>
          <w:caps w:val="0"/>
          <w:spacing w:val="0"/>
          <w:sz w:val="24"/>
          <w:szCs w:val="24"/>
          <w:shd w:val="clear" w:fill="FFFFFF"/>
          <w:lang w:val="en-US" w:eastAsia="zh-CN"/>
        </w:rPr>
      </w:pPr>
      <w:r>
        <w:rPr>
          <w:rFonts w:hint="eastAsia" w:ascii="Segoe UI" w:hAnsi="Segoe UI" w:eastAsia="宋体" w:cs="Segoe UI"/>
          <w:i w:val="0"/>
          <w:iCs w:val="0"/>
          <w:caps w:val="0"/>
          <w:spacing w:val="0"/>
          <w:sz w:val="24"/>
          <w:szCs w:val="24"/>
          <w:shd w:val="clear" w:fill="FFFFFF"/>
          <w:lang w:val="en-US" w:eastAsia="zh-CN"/>
        </w:rPr>
        <w:t>关于标准名称修改的说明：</w:t>
      </w:r>
    </w:p>
    <w:p w14:paraId="150BAD1C">
      <w:pPr>
        <w:spacing w:line="360" w:lineRule="auto"/>
        <w:ind w:firstLine="480" w:firstLineChars="200"/>
        <w:rPr>
          <w:rFonts w:ascii="Times New Roman" w:hAnsi="Times New Roman" w:eastAsia="宋体" w:cs="Times New Roman"/>
          <w:sz w:val="24"/>
          <w:szCs w:val="24"/>
        </w:rPr>
      </w:pPr>
      <w:r>
        <w:rPr>
          <w:rFonts w:ascii="Segoe UI" w:hAnsi="Segoe UI" w:eastAsia="Segoe UI" w:cs="Segoe UI"/>
          <w:i w:val="0"/>
          <w:iCs w:val="0"/>
          <w:caps w:val="0"/>
          <w:spacing w:val="0"/>
          <w:sz w:val="24"/>
          <w:szCs w:val="24"/>
          <w:shd w:val="clear" w:fill="FFFFFF"/>
        </w:rPr>
        <w:t>为使标准名称更加简洁且突出核心特征，现将原名称《多粮酿造浓香型低度白酒》修改为《多粮浓香型低度白酒》。删除</w:t>
      </w:r>
      <w:r>
        <w:rPr>
          <w:rFonts w:hint="eastAsia" w:ascii="Segoe UI" w:hAnsi="Segoe UI" w:eastAsia="宋体" w:cs="Segoe UI"/>
          <w:i w:val="0"/>
          <w:iCs w:val="0"/>
          <w:caps w:val="0"/>
          <w:spacing w:val="0"/>
          <w:sz w:val="24"/>
          <w:szCs w:val="24"/>
          <w:shd w:val="clear" w:fill="FFFFFF"/>
          <w:lang w:val="en-US" w:eastAsia="zh-CN"/>
        </w:rPr>
        <w:t>非必要的</w:t>
      </w:r>
      <w:r>
        <w:rPr>
          <w:rFonts w:ascii="Segoe UI" w:hAnsi="Segoe UI" w:eastAsia="Segoe UI" w:cs="Segoe UI"/>
          <w:i w:val="0"/>
          <w:iCs w:val="0"/>
          <w:caps w:val="0"/>
          <w:spacing w:val="0"/>
          <w:sz w:val="24"/>
          <w:szCs w:val="24"/>
          <w:shd w:val="clear" w:fill="FFFFFF"/>
        </w:rPr>
        <w:t>“酿造”一词，</w:t>
      </w:r>
      <w:r>
        <w:rPr>
          <w:rFonts w:hint="eastAsia" w:ascii="Segoe UI" w:hAnsi="Segoe UI" w:eastAsia="宋体" w:cs="Segoe UI"/>
          <w:i w:val="0"/>
          <w:iCs w:val="0"/>
          <w:caps w:val="0"/>
          <w:spacing w:val="0"/>
          <w:sz w:val="24"/>
          <w:szCs w:val="24"/>
          <w:shd w:val="clear" w:fill="FFFFFF"/>
          <w:lang w:val="en-US" w:eastAsia="zh-CN"/>
        </w:rPr>
        <w:t>避免</w:t>
      </w:r>
      <w:r>
        <w:rPr>
          <w:rFonts w:ascii="Segoe UI" w:hAnsi="Segoe UI" w:eastAsia="Segoe UI" w:cs="Segoe UI"/>
          <w:i w:val="0"/>
          <w:iCs w:val="0"/>
          <w:caps w:val="0"/>
          <w:spacing w:val="0"/>
          <w:sz w:val="24"/>
          <w:szCs w:val="24"/>
          <w:shd w:val="clear" w:fill="FFFFFF"/>
        </w:rPr>
        <w:t>冗长</w:t>
      </w:r>
      <w:r>
        <w:rPr>
          <w:rFonts w:hint="eastAsia" w:ascii="Segoe UI" w:hAnsi="Segoe UI" w:eastAsia="宋体" w:cs="Segoe UI"/>
          <w:i w:val="0"/>
          <w:iCs w:val="0"/>
          <w:caps w:val="0"/>
          <w:spacing w:val="0"/>
          <w:sz w:val="24"/>
          <w:szCs w:val="24"/>
          <w:shd w:val="clear" w:fill="FFFFFF"/>
          <w:lang w:eastAsia="zh-CN"/>
        </w:rPr>
        <w:t>，</w:t>
      </w:r>
      <w:r>
        <w:rPr>
          <w:rFonts w:ascii="Segoe UI" w:hAnsi="Segoe UI" w:eastAsia="Segoe UI" w:cs="Segoe UI"/>
          <w:i w:val="0"/>
          <w:iCs w:val="0"/>
          <w:caps w:val="0"/>
          <w:spacing w:val="0"/>
          <w:sz w:val="24"/>
          <w:szCs w:val="24"/>
          <w:shd w:val="clear" w:fill="FFFFFF"/>
        </w:rPr>
        <w:t>修改后的名称聚焦于产品的原料（多粮）、香型（浓香型）以及酒精度特点（低度），更有利于精准传达产品关键信息，便于行业内外的准确理解和应用。</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AE43D">
    <w:pPr>
      <w:spacing w:line="169" w:lineRule="auto"/>
      <w:ind w:left="4129"/>
      <w:rPr>
        <w:rFonts w:ascii="Calibri" w:hAnsi="Calibri" w:eastAsia="Calibri" w:cs="Calibri"/>
        <w:sz w:val="18"/>
        <w:szCs w:val="18"/>
      </w:rPr>
    </w:pPr>
    <w:r>
      <w:rPr>
        <w:rFonts w:ascii="Calibri" w:hAnsi="Calibri" w:eastAsia="Calibri" w:cs="Calibri"/>
        <w:sz w:val="18"/>
        <w:szCs w:val="18"/>
      </w:rPr>
      <w:t>6</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20DDF3"/>
    <w:multiLevelType w:val="singleLevel"/>
    <w:tmpl w:val="B920DDF3"/>
    <w:lvl w:ilvl="0" w:tentative="0">
      <w:start w:val="5"/>
      <w:numFmt w:val="decimal"/>
      <w:suff w:val="nothing"/>
      <w:lvlText w:val="%1）"/>
      <w:lvlJc w:val="left"/>
      <w:pPr>
        <w:ind w:left="420"/>
      </w:pPr>
    </w:lvl>
  </w:abstractNum>
  <w:abstractNum w:abstractNumId="1">
    <w:nsid w:val="22827D5B"/>
    <w:multiLevelType w:val="multilevel"/>
    <w:tmpl w:val="22827D5B"/>
    <w:lvl w:ilvl="0" w:tentative="0">
      <w:start w:val="1"/>
      <w:numFmt w:val="none"/>
      <w:pStyle w:val="3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
    <w:nsid w:val="657D3FBC"/>
    <w:multiLevelType w:val="multilevel"/>
    <w:tmpl w:val="657D3FBC"/>
    <w:lvl w:ilvl="0" w:tentative="0">
      <w:start w:val="1"/>
      <w:numFmt w:val="upperLetter"/>
      <w:pStyle w:val="41"/>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23"/>
      <w:suff w:val="nothing"/>
      <w:lvlText w:val="%1%2　"/>
      <w:lvlJc w:val="left"/>
      <w:pPr>
        <w:ind w:left="283" w:firstLine="0"/>
      </w:pPr>
      <w:rPr>
        <w:rFonts w:hint="eastAsia" w:ascii="黑体" w:hAnsi="Times New Roman" w:eastAsia="黑体"/>
        <w:b w:val="0"/>
        <w:i w:val="0"/>
        <w:sz w:val="21"/>
      </w:rPr>
    </w:lvl>
    <w:lvl w:ilvl="2" w:tentative="0">
      <w:start w:val="1"/>
      <w:numFmt w:val="decimal"/>
      <w:pStyle w:val="20"/>
      <w:suff w:val="nothing"/>
      <w:lvlText w:val="%1%2.%3　"/>
      <w:lvlJc w:val="left"/>
      <w:pPr>
        <w:ind w:left="426"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6DBF04F4"/>
    <w:multiLevelType w:val="multilevel"/>
    <w:tmpl w:val="6DBF04F4"/>
    <w:lvl w:ilvl="0" w:tentative="0">
      <w:start w:val="1"/>
      <w:numFmt w:val="none"/>
      <w:pStyle w:val="39"/>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A15"/>
    <w:rsid w:val="000058D3"/>
    <w:rsid w:val="000131A2"/>
    <w:rsid w:val="00013D7B"/>
    <w:rsid w:val="00014B60"/>
    <w:rsid w:val="000160BB"/>
    <w:rsid w:val="00016743"/>
    <w:rsid w:val="00023958"/>
    <w:rsid w:val="00025E35"/>
    <w:rsid w:val="000263F1"/>
    <w:rsid w:val="00026954"/>
    <w:rsid w:val="00027798"/>
    <w:rsid w:val="00035529"/>
    <w:rsid w:val="00041231"/>
    <w:rsid w:val="00044AF6"/>
    <w:rsid w:val="00050FE8"/>
    <w:rsid w:val="00052826"/>
    <w:rsid w:val="000534DF"/>
    <w:rsid w:val="00055A15"/>
    <w:rsid w:val="00056D7B"/>
    <w:rsid w:val="00057F79"/>
    <w:rsid w:val="00063016"/>
    <w:rsid w:val="00064229"/>
    <w:rsid w:val="00067766"/>
    <w:rsid w:val="000678CF"/>
    <w:rsid w:val="0007075E"/>
    <w:rsid w:val="00074754"/>
    <w:rsid w:val="00075660"/>
    <w:rsid w:val="00080260"/>
    <w:rsid w:val="000820AB"/>
    <w:rsid w:val="000858EF"/>
    <w:rsid w:val="000863AB"/>
    <w:rsid w:val="0008655B"/>
    <w:rsid w:val="000940E0"/>
    <w:rsid w:val="00096163"/>
    <w:rsid w:val="00097E78"/>
    <w:rsid w:val="000A0419"/>
    <w:rsid w:val="000A067C"/>
    <w:rsid w:val="000A1367"/>
    <w:rsid w:val="000A276E"/>
    <w:rsid w:val="000A6CB2"/>
    <w:rsid w:val="000B2ED7"/>
    <w:rsid w:val="000B3329"/>
    <w:rsid w:val="000B36AC"/>
    <w:rsid w:val="000B3900"/>
    <w:rsid w:val="000B3CDF"/>
    <w:rsid w:val="000B7020"/>
    <w:rsid w:val="000B78E4"/>
    <w:rsid w:val="000C026B"/>
    <w:rsid w:val="000C0431"/>
    <w:rsid w:val="000C0B6B"/>
    <w:rsid w:val="000C0BE4"/>
    <w:rsid w:val="000C24BB"/>
    <w:rsid w:val="000C305F"/>
    <w:rsid w:val="000C53B4"/>
    <w:rsid w:val="000C5FE2"/>
    <w:rsid w:val="000C6C4B"/>
    <w:rsid w:val="000D07A6"/>
    <w:rsid w:val="000D3176"/>
    <w:rsid w:val="000D365F"/>
    <w:rsid w:val="000D3E4D"/>
    <w:rsid w:val="000D3E57"/>
    <w:rsid w:val="000D42CE"/>
    <w:rsid w:val="000D7264"/>
    <w:rsid w:val="000F022C"/>
    <w:rsid w:val="000F0CFA"/>
    <w:rsid w:val="000F0D61"/>
    <w:rsid w:val="000F3443"/>
    <w:rsid w:val="000F73A2"/>
    <w:rsid w:val="00104D98"/>
    <w:rsid w:val="00105477"/>
    <w:rsid w:val="00107746"/>
    <w:rsid w:val="001155FB"/>
    <w:rsid w:val="0011678E"/>
    <w:rsid w:val="001201F1"/>
    <w:rsid w:val="0012336C"/>
    <w:rsid w:val="001234EC"/>
    <w:rsid w:val="001301BD"/>
    <w:rsid w:val="00132C3F"/>
    <w:rsid w:val="00134A73"/>
    <w:rsid w:val="00135F7B"/>
    <w:rsid w:val="00140AC1"/>
    <w:rsid w:val="00144384"/>
    <w:rsid w:val="00146544"/>
    <w:rsid w:val="00152ADE"/>
    <w:rsid w:val="00152F14"/>
    <w:rsid w:val="001623E9"/>
    <w:rsid w:val="00163A93"/>
    <w:rsid w:val="00164FD1"/>
    <w:rsid w:val="00171A1C"/>
    <w:rsid w:val="0017254A"/>
    <w:rsid w:val="00172812"/>
    <w:rsid w:val="001858D2"/>
    <w:rsid w:val="001875A1"/>
    <w:rsid w:val="0019084A"/>
    <w:rsid w:val="001928ED"/>
    <w:rsid w:val="00193BE4"/>
    <w:rsid w:val="001A0412"/>
    <w:rsid w:val="001A19A3"/>
    <w:rsid w:val="001A273E"/>
    <w:rsid w:val="001A2E7A"/>
    <w:rsid w:val="001A446D"/>
    <w:rsid w:val="001A4950"/>
    <w:rsid w:val="001A5D92"/>
    <w:rsid w:val="001A6619"/>
    <w:rsid w:val="001A7FC9"/>
    <w:rsid w:val="001B006F"/>
    <w:rsid w:val="001B6B43"/>
    <w:rsid w:val="001C0ABE"/>
    <w:rsid w:val="001C3A54"/>
    <w:rsid w:val="001D4033"/>
    <w:rsid w:val="001E0205"/>
    <w:rsid w:val="001E076F"/>
    <w:rsid w:val="001E0A21"/>
    <w:rsid w:val="001E0D15"/>
    <w:rsid w:val="001E33E8"/>
    <w:rsid w:val="001E4DA1"/>
    <w:rsid w:val="001E5D78"/>
    <w:rsid w:val="001F177C"/>
    <w:rsid w:val="001F239B"/>
    <w:rsid w:val="001F37BC"/>
    <w:rsid w:val="00200DA5"/>
    <w:rsid w:val="00200E2D"/>
    <w:rsid w:val="002025FA"/>
    <w:rsid w:val="00206780"/>
    <w:rsid w:val="0021574C"/>
    <w:rsid w:val="00215FAD"/>
    <w:rsid w:val="002209D9"/>
    <w:rsid w:val="00221300"/>
    <w:rsid w:val="00222600"/>
    <w:rsid w:val="00225150"/>
    <w:rsid w:val="00230C3E"/>
    <w:rsid w:val="002366A2"/>
    <w:rsid w:val="00243F4F"/>
    <w:rsid w:val="00247562"/>
    <w:rsid w:val="0025098F"/>
    <w:rsid w:val="00254D50"/>
    <w:rsid w:val="002567FB"/>
    <w:rsid w:val="00256D6A"/>
    <w:rsid w:val="00257006"/>
    <w:rsid w:val="0025701D"/>
    <w:rsid w:val="0025758A"/>
    <w:rsid w:val="0025793D"/>
    <w:rsid w:val="002627CB"/>
    <w:rsid w:val="002640AB"/>
    <w:rsid w:val="00265D0A"/>
    <w:rsid w:val="002660C5"/>
    <w:rsid w:val="002665B4"/>
    <w:rsid w:val="00267793"/>
    <w:rsid w:val="002709E9"/>
    <w:rsid w:val="0027725B"/>
    <w:rsid w:val="00283D5D"/>
    <w:rsid w:val="00285B12"/>
    <w:rsid w:val="002872AB"/>
    <w:rsid w:val="002938AF"/>
    <w:rsid w:val="0029518F"/>
    <w:rsid w:val="002A61D3"/>
    <w:rsid w:val="002A6888"/>
    <w:rsid w:val="002A6E71"/>
    <w:rsid w:val="002B0879"/>
    <w:rsid w:val="002B7A07"/>
    <w:rsid w:val="002C2BD1"/>
    <w:rsid w:val="002D02DF"/>
    <w:rsid w:val="002D3FA7"/>
    <w:rsid w:val="002D552F"/>
    <w:rsid w:val="002D5C37"/>
    <w:rsid w:val="002E4EBF"/>
    <w:rsid w:val="002E75A9"/>
    <w:rsid w:val="002F4854"/>
    <w:rsid w:val="002F79E5"/>
    <w:rsid w:val="00306E2A"/>
    <w:rsid w:val="00310BDE"/>
    <w:rsid w:val="00315636"/>
    <w:rsid w:val="0031605F"/>
    <w:rsid w:val="00316655"/>
    <w:rsid w:val="0032094A"/>
    <w:rsid w:val="00321978"/>
    <w:rsid w:val="00321B47"/>
    <w:rsid w:val="003223A1"/>
    <w:rsid w:val="00327E7C"/>
    <w:rsid w:val="00331CF7"/>
    <w:rsid w:val="0033690B"/>
    <w:rsid w:val="003407A8"/>
    <w:rsid w:val="003408F4"/>
    <w:rsid w:val="003415DB"/>
    <w:rsid w:val="00343E4E"/>
    <w:rsid w:val="003469D2"/>
    <w:rsid w:val="003478E9"/>
    <w:rsid w:val="00347CBB"/>
    <w:rsid w:val="003502FB"/>
    <w:rsid w:val="00350D0F"/>
    <w:rsid w:val="0035109F"/>
    <w:rsid w:val="00351115"/>
    <w:rsid w:val="00352056"/>
    <w:rsid w:val="00354A51"/>
    <w:rsid w:val="00355EE6"/>
    <w:rsid w:val="003638BC"/>
    <w:rsid w:val="00366BB2"/>
    <w:rsid w:val="00367885"/>
    <w:rsid w:val="00370157"/>
    <w:rsid w:val="003703AC"/>
    <w:rsid w:val="0037093B"/>
    <w:rsid w:val="003722AC"/>
    <w:rsid w:val="003728BB"/>
    <w:rsid w:val="0037292B"/>
    <w:rsid w:val="00375258"/>
    <w:rsid w:val="0038035E"/>
    <w:rsid w:val="00380426"/>
    <w:rsid w:val="0038125D"/>
    <w:rsid w:val="00381C4F"/>
    <w:rsid w:val="00382829"/>
    <w:rsid w:val="003833C4"/>
    <w:rsid w:val="003841DA"/>
    <w:rsid w:val="00391ABD"/>
    <w:rsid w:val="003942A8"/>
    <w:rsid w:val="003A349F"/>
    <w:rsid w:val="003A7E42"/>
    <w:rsid w:val="003B5DAC"/>
    <w:rsid w:val="003B62EB"/>
    <w:rsid w:val="003B70F3"/>
    <w:rsid w:val="003C2C6F"/>
    <w:rsid w:val="003C386F"/>
    <w:rsid w:val="003C4321"/>
    <w:rsid w:val="003C649B"/>
    <w:rsid w:val="003C72C0"/>
    <w:rsid w:val="003D3CCF"/>
    <w:rsid w:val="003D6054"/>
    <w:rsid w:val="003D7BB8"/>
    <w:rsid w:val="003E03C8"/>
    <w:rsid w:val="003E14B2"/>
    <w:rsid w:val="003E1B3B"/>
    <w:rsid w:val="003E2350"/>
    <w:rsid w:val="003E293C"/>
    <w:rsid w:val="003E45F6"/>
    <w:rsid w:val="003E66F8"/>
    <w:rsid w:val="003E6920"/>
    <w:rsid w:val="003F0B3A"/>
    <w:rsid w:val="003F2384"/>
    <w:rsid w:val="003F6034"/>
    <w:rsid w:val="003F7B68"/>
    <w:rsid w:val="004003CB"/>
    <w:rsid w:val="00401B63"/>
    <w:rsid w:val="004024E7"/>
    <w:rsid w:val="0040639F"/>
    <w:rsid w:val="00407720"/>
    <w:rsid w:val="00411CA3"/>
    <w:rsid w:val="004132F4"/>
    <w:rsid w:val="004239C2"/>
    <w:rsid w:val="00423E11"/>
    <w:rsid w:val="004246A6"/>
    <w:rsid w:val="00427155"/>
    <w:rsid w:val="004339DF"/>
    <w:rsid w:val="0043438E"/>
    <w:rsid w:val="004376C2"/>
    <w:rsid w:val="00442E84"/>
    <w:rsid w:val="00445C1B"/>
    <w:rsid w:val="004462A0"/>
    <w:rsid w:val="0044661D"/>
    <w:rsid w:val="00446E78"/>
    <w:rsid w:val="0044759B"/>
    <w:rsid w:val="00447874"/>
    <w:rsid w:val="004505C4"/>
    <w:rsid w:val="00453B63"/>
    <w:rsid w:val="0046185B"/>
    <w:rsid w:val="0046520C"/>
    <w:rsid w:val="00467C93"/>
    <w:rsid w:val="0047009C"/>
    <w:rsid w:val="00470A5A"/>
    <w:rsid w:val="004743DC"/>
    <w:rsid w:val="004774F9"/>
    <w:rsid w:val="00487AA8"/>
    <w:rsid w:val="00490A74"/>
    <w:rsid w:val="004911C1"/>
    <w:rsid w:val="00492A14"/>
    <w:rsid w:val="00495326"/>
    <w:rsid w:val="004A0F76"/>
    <w:rsid w:val="004A3BD3"/>
    <w:rsid w:val="004A481E"/>
    <w:rsid w:val="004B14F8"/>
    <w:rsid w:val="004B2897"/>
    <w:rsid w:val="004B2BB1"/>
    <w:rsid w:val="004B629A"/>
    <w:rsid w:val="004C14A6"/>
    <w:rsid w:val="004D60BA"/>
    <w:rsid w:val="004E0E97"/>
    <w:rsid w:val="004E43BF"/>
    <w:rsid w:val="004E5F10"/>
    <w:rsid w:val="004E7227"/>
    <w:rsid w:val="004E7BEC"/>
    <w:rsid w:val="004F0AE6"/>
    <w:rsid w:val="004F1C28"/>
    <w:rsid w:val="004F52DC"/>
    <w:rsid w:val="004F75BC"/>
    <w:rsid w:val="004F7CAB"/>
    <w:rsid w:val="00500206"/>
    <w:rsid w:val="00503D04"/>
    <w:rsid w:val="00513B56"/>
    <w:rsid w:val="00515EA6"/>
    <w:rsid w:val="00517D5F"/>
    <w:rsid w:val="005212A8"/>
    <w:rsid w:val="00521461"/>
    <w:rsid w:val="0052247F"/>
    <w:rsid w:val="005241B6"/>
    <w:rsid w:val="005246BD"/>
    <w:rsid w:val="00525497"/>
    <w:rsid w:val="00527B20"/>
    <w:rsid w:val="00530425"/>
    <w:rsid w:val="005313C9"/>
    <w:rsid w:val="005337F9"/>
    <w:rsid w:val="00533A2E"/>
    <w:rsid w:val="00534107"/>
    <w:rsid w:val="00534147"/>
    <w:rsid w:val="00534A04"/>
    <w:rsid w:val="0054517A"/>
    <w:rsid w:val="0055161F"/>
    <w:rsid w:val="00551B7A"/>
    <w:rsid w:val="00552C87"/>
    <w:rsid w:val="00556449"/>
    <w:rsid w:val="005604C0"/>
    <w:rsid w:val="005622EB"/>
    <w:rsid w:val="0056796B"/>
    <w:rsid w:val="00574048"/>
    <w:rsid w:val="00574CDD"/>
    <w:rsid w:val="00586089"/>
    <w:rsid w:val="00587EBF"/>
    <w:rsid w:val="00593080"/>
    <w:rsid w:val="0059457D"/>
    <w:rsid w:val="005951AE"/>
    <w:rsid w:val="00597842"/>
    <w:rsid w:val="005A5F39"/>
    <w:rsid w:val="005A73D0"/>
    <w:rsid w:val="005B077B"/>
    <w:rsid w:val="005B1341"/>
    <w:rsid w:val="005B1844"/>
    <w:rsid w:val="005B19CE"/>
    <w:rsid w:val="005B552C"/>
    <w:rsid w:val="005C2F3A"/>
    <w:rsid w:val="005D0196"/>
    <w:rsid w:val="005D03A3"/>
    <w:rsid w:val="005D2520"/>
    <w:rsid w:val="005D2896"/>
    <w:rsid w:val="005D3024"/>
    <w:rsid w:val="005D729F"/>
    <w:rsid w:val="005E0785"/>
    <w:rsid w:val="005E37EE"/>
    <w:rsid w:val="005F687E"/>
    <w:rsid w:val="006003FF"/>
    <w:rsid w:val="00601208"/>
    <w:rsid w:val="00606291"/>
    <w:rsid w:val="006078D2"/>
    <w:rsid w:val="00607DC5"/>
    <w:rsid w:val="00610972"/>
    <w:rsid w:val="00610B5D"/>
    <w:rsid w:val="00611E3A"/>
    <w:rsid w:val="00613EBF"/>
    <w:rsid w:val="006166DB"/>
    <w:rsid w:val="006168D5"/>
    <w:rsid w:val="00621339"/>
    <w:rsid w:val="00621A2B"/>
    <w:rsid w:val="00622579"/>
    <w:rsid w:val="00622826"/>
    <w:rsid w:val="00630459"/>
    <w:rsid w:val="0063117E"/>
    <w:rsid w:val="00633518"/>
    <w:rsid w:val="00634730"/>
    <w:rsid w:val="00641918"/>
    <w:rsid w:val="0064507D"/>
    <w:rsid w:val="0064616C"/>
    <w:rsid w:val="0065158D"/>
    <w:rsid w:val="00651A3B"/>
    <w:rsid w:val="00651B97"/>
    <w:rsid w:val="0065349B"/>
    <w:rsid w:val="006547AF"/>
    <w:rsid w:val="00654C14"/>
    <w:rsid w:val="00655E8B"/>
    <w:rsid w:val="00657256"/>
    <w:rsid w:val="0065760C"/>
    <w:rsid w:val="00657C52"/>
    <w:rsid w:val="00663602"/>
    <w:rsid w:val="0066661F"/>
    <w:rsid w:val="00667684"/>
    <w:rsid w:val="006701A1"/>
    <w:rsid w:val="00670C85"/>
    <w:rsid w:val="006739AD"/>
    <w:rsid w:val="00680B8A"/>
    <w:rsid w:val="00680FA9"/>
    <w:rsid w:val="00681C52"/>
    <w:rsid w:val="00686081"/>
    <w:rsid w:val="00687AE7"/>
    <w:rsid w:val="00690D9E"/>
    <w:rsid w:val="006949D8"/>
    <w:rsid w:val="00695E2A"/>
    <w:rsid w:val="006A7569"/>
    <w:rsid w:val="006B118D"/>
    <w:rsid w:val="006B263A"/>
    <w:rsid w:val="006B29C9"/>
    <w:rsid w:val="006B30B2"/>
    <w:rsid w:val="006B4169"/>
    <w:rsid w:val="006B65F1"/>
    <w:rsid w:val="006C01D0"/>
    <w:rsid w:val="006C259E"/>
    <w:rsid w:val="006C43BA"/>
    <w:rsid w:val="006C4A3A"/>
    <w:rsid w:val="006C525D"/>
    <w:rsid w:val="006D0CA9"/>
    <w:rsid w:val="006D3E80"/>
    <w:rsid w:val="006D4857"/>
    <w:rsid w:val="006D5593"/>
    <w:rsid w:val="006D731B"/>
    <w:rsid w:val="006E014A"/>
    <w:rsid w:val="006E23DA"/>
    <w:rsid w:val="006E3A5C"/>
    <w:rsid w:val="006E6F6C"/>
    <w:rsid w:val="006F4ED7"/>
    <w:rsid w:val="006F6193"/>
    <w:rsid w:val="006F655C"/>
    <w:rsid w:val="006F65B9"/>
    <w:rsid w:val="00701186"/>
    <w:rsid w:val="00704515"/>
    <w:rsid w:val="00705AF4"/>
    <w:rsid w:val="007077E2"/>
    <w:rsid w:val="007107BD"/>
    <w:rsid w:val="00711267"/>
    <w:rsid w:val="00716FB8"/>
    <w:rsid w:val="00717F3D"/>
    <w:rsid w:val="00720A46"/>
    <w:rsid w:val="00725947"/>
    <w:rsid w:val="00731816"/>
    <w:rsid w:val="00731834"/>
    <w:rsid w:val="007318B2"/>
    <w:rsid w:val="00731B97"/>
    <w:rsid w:val="0073392C"/>
    <w:rsid w:val="00734168"/>
    <w:rsid w:val="00734489"/>
    <w:rsid w:val="00736BF5"/>
    <w:rsid w:val="0073794E"/>
    <w:rsid w:val="007414B5"/>
    <w:rsid w:val="00747AAF"/>
    <w:rsid w:val="00754B5C"/>
    <w:rsid w:val="0076136B"/>
    <w:rsid w:val="00763AE0"/>
    <w:rsid w:val="00764231"/>
    <w:rsid w:val="007672FE"/>
    <w:rsid w:val="00771344"/>
    <w:rsid w:val="00771B68"/>
    <w:rsid w:val="00772415"/>
    <w:rsid w:val="007740B5"/>
    <w:rsid w:val="00776AB1"/>
    <w:rsid w:val="0077750B"/>
    <w:rsid w:val="0078080E"/>
    <w:rsid w:val="00781CBD"/>
    <w:rsid w:val="00784316"/>
    <w:rsid w:val="00784C89"/>
    <w:rsid w:val="007872D1"/>
    <w:rsid w:val="0078753D"/>
    <w:rsid w:val="007912F1"/>
    <w:rsid w:val="0079735F"/>
    <w:rsid w:val="007A05A4"/>
    <w:rsid w:val="007B0B08"/>
    <w:rsid w:val="007B1328"/>
    <w:rsid w:val="007B1F80"/>
    <w:rsid w:val="007B48E3"/>
    <w:rsid w:val="007B7643"/>
    <w:rsid w:val="007D48CF"/>
    <w:rsid w:val="007D6FDC"/>
    <w:rsid w:val="007E0EDC"/>
    <w:rsid w:val="007E1A2D"/>
    <w:rsid w:val="007E233E"/>
    <w:rsid w:val="007F1485"/>
    <w:rsid w:val="00801B1A"/>
    <w:rsid w:val="0080539C"/>
    <w:rsid w:val="0080677F"/>
    <w:rsid w:val="00806D00"/>
    <w:rsid w:val="008102A3"/>
    <w:rsid w:val="00810B3F"/>
    <w:rsid w:val="00811DFC"/>
    <w:rsid w:val="00812A02"/>
    <w:rsid w:val="00813615"/>
    <w:rsid w:val="0081442C"/>
    <w:rsid w:val="008158FF"/>
    <w:rsid w:val="0081778C"/>
    <w:rsid w:val="00820D8A"/>
    <w:rsid w:val="0082128A"/>
    <w:rsid w:val="0082174D"/>
    <w:rsid w:val="00825E1F"/>
    <w:rsid w:val="00826630"/>
    <w:rsid w:val="00826907"/>
    <w:rsid w:val="008274D7"/>
    <w:rsid w:val="008532C3"/>
    <w:rsid w:val="00856F95"/>
    <w:rsid w:val="00857374"/>
    <w:rsid w:val="008618D8"/>
    <w:rsid w:val="0086236F"/>
    <w:rsid w:val="00865595"/>
    <w:rsid w:val="0086662D"/>
    <w:rsid w:val="008707EE"/>
    <w:rsid w:val="008754D2"/>
    <w:rsid w:val="00875819"/>
    <w:rsid w:val="00877D94"/>
    <w:rsid w:val="008800D4"/>
    <w:rsid w:val="0088294D"/>
    <w:rsid w:val="00884D98"/>
    <w:rsid w:val="00887594"/>
    <w:rsid w:val="00890B70"/>
    <w:rsid w:val="0089185C"/>
    <w:rsid w:val="00891A38"/>
    <w:rsid w:val="00894944"/>
    <w:rsid w:val="008949E3"/>
    <w:rsid w:val="00896F0A"/>
    <w:rsid w:val="008B1BC0"/>
    <w:rsid w:val="008B2997"/>
    <w:rsid w:val="008B5614"/>
    <w:rsid w:val="008B651C"/>
    <w:rsid w:val="008B6805"/>
    <w:rsid w:val="008C0351"/>
    <w:rsid w:val="008C71B1"/>
    <w:rsid w:val="008D1418"/>
    <w:rsid w:val="008D392F"/>
    <w:rsid w:val="008D5AD0"/>
    <w:rsid w:val="008D70C8"/>
    <w:rsid w:val="008E0BC4"/>
    <w:rsid w:val="008E1235"/>
    <w:rsid w:val="008E317A"/>
    <w:rsid w:val="008E6EA7"/>
    <w:rsid w:val="008E7AFC"/>
    <w:rsid w:val="008E7BE6"/>
    <w:rsid w:val="008E7C6C"/>
    <w:rsid w:val="009024A3"/>
    <w:rsid w:val="0090404C"/>
    <w:rsid w:val="00904419"/>
    <w:rsid w:val="0090537A"/>
    <w:rsid w:val="00905B68"/>
    <w:rsid w:val="00915E16"/>
    <w:rsid w:val="009164F6"/>
    <w:rsid w:val="00917C38"/>
    <w:rsid w:val="00920679"/>
    <w:rsid w:val="0092126C"/>
    <w:rsid w:val="009218C9"/>
    <w:rsid w:val="00921DA9"/>
    <w:rsid w:val="0092380D"/>
    <w:rsid w:val="00930362"/>
    <w:rsid w:val="009333C8"/>
    <w:rsid w:val="00936486"/>
    <w:rsid w:val="00936DB7"/>
    <w:rsid w:val="00937EA2"/>
    <w:rsid w:val="0094546D"/>
    <w:rsid w:val="00945F70"/>
    <w:rsid w:val="00950B62"/>
    <w:rsid w:val="00952B14"/>
    <w:rsid w:val="00952CA3"/>
    <w:rsid w:val="00953851"/>
    <w:rsid w:val="00955C30"/>
    <w:rsid w:val="00957882"/>
    <w:rsid w:val="00960799"/>
    <w:rsid w:val="00960F71"/>
    <w:rsid w:val="00964430"/>
    <w:rsid w:val="00970D04"/>
    <w:rsid w:val="009719D4"/>
    <w:rsid w:val="009758AC"/>
    <w:rsid w:val="00980BA3"/>
    <w:rsid w:val="00981639"/>
    <w:rsid w:val="00981C71"/>
    <w:rsid w:val="009845D8"/>
    <w:rsid w:val="009865F5"/>
    <w:rsid w:val="00990A7C"/>
    <w:rsid w:val="00991AAB"/>
    <w:rsid w:val="0099456E"/>
    <w:rsid w:val="009A2216"/>
    <w:rsid w:val="009A6350"/>
    <w:rsid w:val="009A7E20"/>
    <w:rsid w:val="009B25B8"/>
    <w:rsid w:val="009B2781"/>
    <w:rsid w:val="009B3472"/>
    <w:rsid w:val="009B4BAE"/>
    <w:rsid w:val="009B7392"/>
    <w:rsid w:val="009C1F4D"/>
    <w:rsid w:val="009C278C"/>
    <w:rsid w:val="009C446A"/>
    <w:rsid w:val="009C60B4"/>
    <w:rsid w:val="009D171F"/>
    <w:rsid w:val="009D3E8A"/>
    <w:rsid w:val="009D52C4"/>
    <w:rsid w:val="009E0FEF"/>
    <w:rsid w:val="009E33F1"/>
    <w:rsid w:val="009E7BED"/>
    <w:rsid w:val="009F139B"/>
    <w:rsid w:val="009F353C"/>
    <w:rsid w:val="009F5B1D"/>
    <w:rsid w:val="00A02B75"/>
    <w:rsid w:val="00A05260"/>
    <w:rsid w:val="00A05B3C"/>
    <w:rsid w:val="00A06446"/>
    <w:rsid w:val="00A13BEF"/>
    <w:rsid w:val="00A13FE0"/>
    <w:rsid w:val="00A1505E"/>
    <w:rsid w:val="00A1790A"/>
    <w:rsid w:val="00A201A9"/>
    <w:rsid w:val="00A23456"/>
    <w:rsid w:val="00A237FF"/>
    <w:rsid w:val="00A23CB9"/>
    <w:rsid w:val="00A23E1F"/>
    <w:rsid w:val="00A24AD9"/>
    <w:rsid w:val="00A306FD"/>
    <w:rsid w:val="00A3381D"/>
    <w:rsid w:val="00A35CDD"/>
    <w:rsid w:val="00A35EF1"/>
    <w:rsid w:val="00A42D4E"/>
    <w:rsid w:val="00A454E9"/>
    <w:rsid w:val="00A454F1"/>
    <w:rsid w:val="00A46B8A"/>
    <w:rsid w:val="00A473E2"/>
    <w:rsid w:val="00A5155B"/>
    <w:rsid w:val="00A53443"/>
    <w:rsid w:val="00A55D56"/>
    <w:rsid w:val="00A61736"/>
    <w:rsid w:val="00A65BBB"/>
    <w:rsid w:val="00A72608"/>
    <w:rsid w:val="00A72AA7"/>
    <w:rsid w:val="00A72D37"/>
    <w:rsid w:val="00A73769"/>
    <w:rsid w:val="00A8273C"/>
    <w:rsid w:val="00A83779"/>
    <w:rsid w:val="00A91377"/>
    <w:rsid w:val="00A9459E"/>
    <w:rsid w:val="00A95378"/>
    <w:rsid w:val="00AA2A62"/>
    <w:rsid w:val="00AA304D"/>
    <w:rsid w:val="00AA3E7D"/>
    <w:rsid w:val="00AB04A0"/>
    <w:rsid w:val="00AB3EB7"/>
    <w:rsid w:val="00AB6BFB"/>
    <w:rsid w:val="00AC145F"/>
    <w:rsid w:val="00AD08A7"/>
    <w:rsid w:val="00AD2D1A"/>
    <w:rsid w:val="00AE3C65"/>
    <w:rsid w:val="00AE5A83"/>
    <w:rsid w:val="00AF0179"/>
    <w:rsid w:val="00AF1C4B"/>
    <w:rsid w:val="00B0112B"/>
    <w:rsid w:val="00B028D2"/>
    <w:rsid w:val="00B062EC"/>
    <w:rsid w:val="00B11A5B"/>
    <w:rsid w:val="00B125AA"/>
    <w:rsid w:val="00B16033"/>
    <w:rsid w:val="00B16694"/>
    <w:rsid w:val="00B175ED"/>
    <w:rsid w:val="00B22321"/>
    <w:rsid w:val="00B26CFD"/>
    <w:rsid w:val="00B3762A"/>
    <w:rsid w:val="00B40D39"/>
    <w:rsid w:val="00B545CF"/>
    <w:rsid w:val="00B54EF4"/>
    <w:rsid w:val="00B565FE"/>
    <w:rsid w:val="00B60F30"/>
    <w:rsid w:val="00B61F3D"/>
    <w:rsid w:val="00B6652B"/>
    <w:rsid w:val="00B66A6C"/>
    <w:rsid w:val="00B73D54"/>
    <w:rsid w:val="00B73D8A"/>
    <w:rsid w:val="00B761AB"/>
    <w:rsid w:val="00B76B7D"/>
    <w:rsid w:val="00B82A3E"/>
    <w:rsid w:val="00B83B75"/>
    <w:rsid w:val="00B85F3B"/>
    <w:rsid w:val="00B979B5"/>
    <w:rsid w:val="00BA00A7"/>
    <w:rsid w:val="00BB1E3B"/>
    <w:rsid w:val="00BB45D8"/>
    <w:rsid w:val="00BB6A6F"/>
    <w:rsid w:val="00BB7565"/>
    <w:rsid w:val="00BC2037"/>
    <w:rsid w:val="00BC6745"/>
    <w:rsid w:val="00BC7976"/>
    <w:rsid w:val="00BC7A4C"/>
    <w:rsid w:val="00BD7A70"/>
    <w:rsid w:val="00BE0724"/>
    <w:rsid w:val="00BE0EEE"/>
    <w:rsid w:val="00BF0E19"/>
    <w:rsid w:val="00BF2D44"/>
    <w:rsid w:val="00BF371E"/>
    <w:rsid w:val="00BF5E6C"/>
    <w:rsid w:val="00C0045C"/>
    <w:rsid w:val="00C017EA"/>
    <w:rsid w:val="00C023CA"/>
    <w:rsid w:val="00C03895"/>
    <w:rsid w:val="00C04CD3"/>
    <w:rsid w:val="00C106A6"/>
    <w:rsid w:val="00C11371"/>
    <w:rsid w:val="00C157D7"/>
    <w:rsid w:val="00C16DB8"/>
    <w:rsid w:val="00C219BA"/>
    <w:rsid w:val="00C30A0C"/>
    <w:rsid w:val="00C335E8"/>
    <w:rsid w:val="00C3409B"/>
    <w:rsid w:val="00C40CC4"/>
    <w:rsid w:val="00C44145"/>
    <w:rsid w:val="00C451C8"/>
    <w:rsid w:val="00C456A5"/>
    <w:rsid w:val="00C45CDE"/>
    <w:rsid w:val="00C53147"/>
    <w:rsid w:val="00C605BA"/>
    <w:rsid w:val="00C64271"/>
    <w:rsid w:val="00C67676"/>
    <w:rsid w:val="00C67EE3"/>
    <w:rsid w:val="00C71719"/>
    <w:rsid w:val="00C72F86"/>
    <w:rsid w:val="00C774E9"/>
    <w:rsid w:val="00C8055D"/>
    <w:rsid w:val="00C823E7"/>
    <w:rsid w:val="00C850D9"/>
    <w:rsid w:val="00C86028"/>
    <w:rsid w:val="00C9107B"/>
    <w:rsid w:val="00C95393"/>
    <w:rsid w:val="00C95641"/>
    <w:rsid w:val="00CA6F80"/>
    <w:rsid w:val="00CB3FE8"/>
    <w:rsid w:val="00CB4293"/>
    <w:rsid w:val="00CB67E4"/>
    <w:rsid w:val="00CC3BB1"/>
    <w:rsid w:val="00CC7847"/>
    <w:rsid w:val="00CC795A"/>
    <w:rsid w:val="00CD25B9"/>
    <w:rsid w:val="00CD3536"/>
    <w:rsid w:val="00CD3B78"/>
    <w:rsid w:val="00CD3C38"/>
    <w:rsid w:val="00CD784F"/>
    <w:rsid w:val="00CD7B17"/>
    <w:rsid w:val="00CE065F"/>
    <w:rsid w:val="00CE297C"/>
    <w:rsid w:val="00CE32B2"/>
    <w:rsid w:val="00CE5098"/>
    <w:rsid w:val="00CE652B"/>
    <w:rsid w:val="00CF3475"/>
    <w:rsid w:val="00D035D1"/>
    <w:rsid w:val="00D043A1"/>
    <w:rsid w:val="00D13F2C"/>
    <w:rsid w:val="00D159E1"/>
    <w:rsid w:val="00D20FED"/>
    <w:rsid w:val="00D21144"/>
    <w:rsid w:val="00D2200B"/>
    <w:rsid w:val="00D23026"/>
    <w:rsid w:val="00D23C16"/>
    <w:rsid w:val="00D371EA"/>
    <w:rsid w:val="00D46B3A"/>
    <w:rsid w:val="00D5601A"/>
    <w:rsid w:val="00D607EE"/>
    <w:rsid w:val="00D63ADF"/>
    <w:rsid w:val="00D67D7D"/>
    <w:rsid w:val="00D723A6"/>
    <w:rsid w:val="00D74E35"/>
    <w:rsid w:val="00D82114"/>
    <w:rsid w:val="00D826D6"/>
    <w:rsid w:val="00D8737A"/>
    <w:rsid w:val="00D9096A"/>
    <w:rsid w:val="00D90A37"/>
    <w:rsid w:val="00D929A4"/>
    <w:rsid w:val="00D93128"/>
    <w:rsid w:val="00D953D8"/>
    <w:rsid w:val="00D9765D"/>
    <w:rsid w:val="00DA0B7A"/>
    <w:rsid w:val="00DA3EA5"/>
    <w:rsid w:val="00DA4135"/>
    <w:rsid w:val="00DA5526"/>
    <w:rsid w:val="00DB0DBA"/>
    <w:rsid w:val="00DB1BB3"/>
    <w:rsid w:val="00DB5ED0"/>
    <w:rsid w:val="00DB7F9B"/>
    <w:rsid w:val="00DC10BF"/>
    <w:rsid w:val="00DC31B8"/>
    <w:rsid w:val="00DD100C"/>
    <w:rsid w:val="00DD3BCB"/>
    <w:rsid w:val="00DD3F1D"/>
    <w:rsid w:val="00DD768E"/>
    <w:rsid w:val="00DD7924"/>
    <w:rsid w:val="00DE56FA"/>
    <w:rsid w:val="00DE7F85"/>
    <w:rsid w:val="00DF059D"/>
    <w:rsid w:val="00DF0E90"/>
    <w:rsid w:val="00DF28CE"/>
    <w:rsid w:val="00DF53C0"/>
    <w:rsid w:val="00DF5ED4"/>
    <w:rsid w:val="00DF6578"/>
    <w:rsid w:val="00DF69F1"/>
    <w:rsid w:val="00E00C83"/>
    <w:rsid w:val="00E039FA"/>
    <w:rsid w:val="00E0737F"/>
    <w:rsid w:val="00E12B4A"/>
    <w:rsid w:val="00E21CED"/>
    <w:rsid w:val="00E21F2F"/>
    <w:rsid w:val="00E2333A"/>
    <w:rsid w:val="00E23AB0"/>
    <w:rsid w:val="00E23C69"/>
    <w:rsid w:val="00E23D31"/>
    <w:rsid w:val="00E23F25"/>
    <w:rsid w:val="00E319C1"/>
    <w:rsid w:val="00E3315D"/>
    <w:rsid w:val="00E3326D"/>
    <w:rsid w:val="00E33E2D"/>
    <w:rsid w:val="00E3714D"/>
    <w:rsid w:val="00E476CA"/>
    <w:rsid w:val="00E52CC7"/>
    <w:rsid w:val="00E530F1"/>
    <w:rsid w:val="00E54422"/>
    <w:rsid w:val="00E565C6"/>
    <w:rsid w:val="00E56B6B"/>
    <w:rsid w:val="00E61CAC"/>
    <w:rsid w:val="00E65F9F"/>
    <w:rsid w:val="00E67201"/>
    <w:rsid w:val="00E70E31"/>
    <w:rsid w:val="00E72B62"/>
    <w:rsid w:val="00E81375"/>
    <w:rsid w:val="00E81F3A"/>
    <w:rsid w:val="00E825A5"/>
    <w:rsid w:val="00E92C4F"/>
    <w:rsid w:val="00E959F5"/>
    <w:rsid w:val="00EA4406"/>
    <w:rsid w:val="00EA6FD0"/>
    <w:rsid w:val="00EB35C0"/>
    <w:rsid w:val="00EC097C"/>
    <w:rsid w:val="00EC3667"/>
    <w:rsid w:val="00EC41E8"/>
    <w:rsid w:val="00EC65BC"/>
    <w:rsid w:val="00EC6605"/>
    <w:rsid w:val="00EC6948"/>
    <w:rsid w:val="00EC6DBC"/>
    <w:rsid w:val="00ED1BED"/>
    <w:rsid w:val="00ED37DF"/>
    <w:rsid w:val="00ED3D0E"/>
    <w:rsid w:val="00ED42F1"/>
    <w:rsid w:val="00ED4A37"/>
    <w:rsid w:val="00ED624F"/>
    <w:rsid w:val="00ED6E6B"/>
    <w:rsid w:val="00EE06FB"/>
    <w:rsid w:val="00EE2123"/>
    <w:rsid w:val="00EE3F3D"/>
    <w:rsid w:val="00EE6AE3"/>
    <w:rsid w:val="00EE6D40"/>
    <w:rsid w:val="00EF0434"/>
    <w:rsid w:val="00EF0538"/>
    <w:rsid w:val="00EF0DB8"/>
    <w:rsid w:val="00EF1B3E"/>
    <w:rsid w:val="00EF519B"/>
    <w:rsid w:val="00F00C34"/>
    <w:rsid w:val="00F00DC2"/>
    <w:rsid w:val="00F05873"/>
    <w:rsid w:val="00F14A5C"/>
    <w:rsid w:val="00F14CFC"/>
    <w:rsid w:val="00F15375"/>
    <w:rsid w:val="00F16A9A"/>
    <w:rsid w:val="00F16FA3"/>
    <w:rsid w:val="00F17B4C"/>
    <w:rsid w:val="00F21475"/>
    <w:rsid w:val="00F24C43"/>
    <w:rsid w:val="00F25616"/>
    <w:rsid w:val="00F25D53"/>
    <w:rsid w:val="00F270ED"/>
    <w:rsid w:val="00F34DEA"/>
    <w:rsid w:val="00F37627"/>
    <w:rsid w:val="00F41673"/>
    <w:rsid w:val="00F4588F"/>
    <w:rsid w:val="00F522A5"/>
    <w:rsid w:val="00F56599"/>
    <w:rsid w:val="00F5668B"/>
    <w:rsid w:val="00F5712A"/>
    <w:rsid w:val="00F6159E"/>
    <w:rsid w:val="00F64745"/>
    <w:rsid w:val="00F65929"/>
    <w:rsid w:val="00F73509"/>
    <w:rsid w:val="00F74D63"/>
    <w:rsid w:val="00F81D82"/>
    <w:rsid w:val="00F852B9"/>
    <w:rsid w:val="00F87FA2"/>
    <w:rsid w:val="00F906CC"/>
    <w:rsid w:val="00F95C3A"/>
    <w:rsid w:val="00F95EDA"/>
    <w:rsid w:val="00F96218"/>
    <w:rsid w:val="00FA09C0"/>
    <w:rsid w:val="00FA3A3A"/>
    <w:rsid w:val="00FA3C21"/>
    <w:rsid w:val="00FB0FC9"/>
    <w:rsid w:val="00FB16F4"/>
    <w:rsid w:val="00FC1F15"/>
    <w:rsid w:val="00FC1F7B"/>
    <w:rsid w:val="00FC46A1"/>
    <w:rsid w:val="00FC5363"/>
    <w:rsid w:val="00FC6875"/>
    <w:rsid w:val="00FD18CB"/>
    <w:rsid w:val="00FD3EF0"/>
    <w:rsid w:val="00FD3F3C"/>
    <w:rsid w:val="00FD48BC"/>
    <w:rsid w:val="00FD49B9"/>
    <w:rsid w:val="00FD5335"/>
    <w:rsid w:val="00FD78D7"/>
    <w:rsid w:val="00FE569E"/>
    <w:rsid w:val="00FE6D05"/>
    <w:rsid w:val="00FF1548"/>
    <w:rsid w:val="00FF38A1"/>
    <w:rsid w:val="00FF3A1E"/>
    <w:rsid w:val="00FF689C"/>
    <w:rsid w:val="00FF74DE"/>
    <w:rsid w:val="013E61E2"/>
    <w:rsid w:val="014B08FF"/>
    <w:rsid w:val="014F219D"/>
    <w:rsid w:val="017240DE"/>
    <w:rsid w:val="0198120A"/>
    <w:rsid w:val="01B97F5E"/>
    <w:rsid w:val="01C34939"/>
    <w:rsid w:val="01E271FF"/>
    <w:rsid w:val="027F2F56"/>
    <w:rsid w:val="029C58B6"/>
    <w:rsid w:val="02A06DB3"/>
    <w:rsid w:val="02A93B2F"/>
    <w:rsid w:val="02B250DA"/>
    <w:rsid w:val="03195159"/>
    <w:rsid w:val="032064E7"/>
    <w:rsid w:val="0337738D"/>
    <w:rsid w:val="03457CFC"/>
    <w:rsid w:val="036715AC"/>
    <w:rsid w:val="03764359"/>
    <w:rsid w:val="03C9092D"/>
    <w:rsid w:val="03DB240E"/>
    <w:rsid w:val="040C5A1F"/>
    <w:rsid w:val="04A24CDA"/>
    <w:rsid w:val="04E86441"/>
    <w:rsid w:val="04EB042F"/>
    <w:rsid w:val="052851DF"/>
    <w:rsid w:val="05604F20"/>
    <w:rsid w:val="057B1BCF"/>
    <w:rsid w:val="05F86E6F"/>
    <w:rsid w:val="063A78C0"/>
    <w:rsid w:val="06AA4179"/>
    <w:rsid w:val="06AD62E4"/>
    <w:rsid w:val="06B64A6C"/>
    <w:rsid w:val="06C61153"/>
    <w:rsid w:val="06CD24E2"/>
    <w:rsid w:val="0799720F"/>
    <w:rsid w:val="079E3E7E"/>
    <w:rsid w:val="07AE5765"/>
    <w:rsid w:val="07B812A2"/>
    <w:rsid w:val="08A76D63"/>
    <w:rsid w:val="09315B4A"/>
    <w:rsid w:val="09414AC1"/>
    <w:rsid w:val="094E3682"/>
    <w:rsid w:val="095A2027"/>
    <w:rsid w:val="098D7D07"/>
    <w:rsid w:val="09E366F4"/>
    <w:rsid w:val="0A07270C"/>
    <w:rsid w:val="0A656ED5"/>
    <w:rsid w:val="0A710B84"/>
    <w:rsid w:val="0A7D421F"/>
    <w:rsid w:val="0A821835"/>
    <w:rsid w:val="0A8B5655"/>
    <w:rsid w:val="0A8B6D96"/>
    <w:rsid w:val="0A924098"/>
    <w:rsid w:val="0B022976"/>
    <w:rsid w:val="0B15533F"/>
    <w:rsid w:val="0B1E1C49"/>
    <w:rsid w:val="0B2E09A2"/>
    <w:rsid w:val="0B304BDD"/>
    <w:rsid w:val="0B4E36EC"/>
    <w:rsid w:val="0B626F71"/>
    <w:rsid w:val="0B680A2B"/>
    <w:rsid w:val="0BCA3494"/>
    <w:rsid w:val="0BD065D0"/>
    <w:rsid w:val="0C3E6914"/>
    <w:rsid w:val="0C8353F1"/>
    <w:rsid w:val="0C8F023A"/>
    <w:rsid w:val="0CA77331"/>
    <w:rsid w:val="0CC779D3"/>
    <w:rsid w:val="0D244E26"/>
    <w:rsid w:val="0DBC79C4"/>
    <w:rsid w:val="0E2B2934"/>
    <w:rsid w:val="0E905A81"/>
    <w:rsid w:val="0EE06B2A"/>
    <w:rsid w:val="0F7A2ADB"/>
    <w:rsid w:val="0FA87990"/>
    <w:rsid w:val="0FB104C7"/>
    <w:rsid w:val="0FC51465"/>
    <w:rsid w:val="0FC92E5D"/>
    <w:rsid w:val="0FE16FFE"/>
    <w:rsid w:val="10947BCD"/>
    <w:rsid w:val="109776BD"/>
    <w:rsid w:val="10AB1F4F"/>
    <w:rsid w:val="10DB1C9F"/>
    <w:rsid w:val="1107004B"/>
    <w:rsid w:val="112471F4"/>
    <w:rsid w:val="11286567"/>
    <w:rsid w:val="112C42A9"/>
    <w:rsid w:val="115832F0"/>
    <w:rsid w:val="11991213"/>
    <w:rsid w:val="119A3908"/>
    <w:rsid w:val="11CD2917"/>
    <w:rsid w:val="11E20E0C"/>
    <w:rsid w:val="11E21E3A"/>
    <w:rsid w:val="11EE5A02"/>
    <w:rsid w:val="12040D82"/>
    <w:rsid w:val="12371157"/>
    <w:rsid w:val="12900868"/>
    <w:rsid w:val="12EC0194"/>
    <w:rsid w:val="13313C85"/>
    <w:rsid w:val="13A26AA4"/>
    <w:rsid w:val="13BC5DB8"/>
    <w:rsid w:val="13CE069C"/>
    <w:rsid w:val="14084AB5"/>
    <w:rsid w:val="14496F20"/>
    <w:rsid w:val="14531B4D"/>
    <w:rsid w:val="145D4214"/>
    <w:rsid w:val="147C34B3"/>
    <w:rsid w:val="14AD621C"/>
    <w:rsid w:val="14B051F1"/>
    <w:rsid w:val="153D4CD7"/>
    <w:rsid w:val="156A62C2"/>
    <w:rsid w:val="15B02197"/>
    <w:rsid w:val="15B605E5"/>
    <w:rsid w:val="160752E5"/>
    <w:rsid w:val="160C3F81"/>
    <w:rsid w:val="16210154"/>
    <w:rsid w:val="16223ECC"/>
    <w:rsid w:val="165C4DEB"/>
    <w:rsid w:val="16E66022"/>
    <w:rsid w:val="17614504"/>
    <w:rsid w:val="17A50911"/>
    <w:rsid w:val="17C95782"/>
    <w:rsid w:val="17F32CA0"/>
    <w:rsid w:val="18041ADC"/>
    <w:rsid w:val="1811244B"/>
    <w:rsid w:val="1876405C"/>
    <w:rsid w:val="18773C95"/>
    <w:rsid w:val="196158F4"/>
    <w:rsid w:val="19616ABA"/>
    <w:rsid w:val="19AF1F1B"/>
    <w:rsid w:val="19D35C0A"/>
    <w:rsid w:val="19D63004"/>
    <w:rsid w:val="19F72376"/>
    <w:rsid w:val="19F85670"/>
    <w:rsid w:val="1A14446F"/>
    <w:rsid w:val="1A1D0C33"/>
    <w:rsid w:val="1A8D5D37"/>
    <w:rsid w:val="1A8E312D"/>
    <w:rsid w:val="1A9C791D"/>
    <w:rsid w:val="1AAB623F"/>
    <w:rsid w:val="1B414DF5"/>
    <w:rsid w:val="1B9238A2"/>
    <w:rsid w:val="1C3B3C34"/>
    <w:rsid w:val="1CB91634"/>
    <w:rsid w:val="1CBD494F"/>
    <w:rsid w:val="1CBF2475"/>
    <w:rsid w:val="1CFA525B"/>
    <w:rsid w:val="1D192221"/>
    <w:rsid w:val="1D294F0B"/>
    <w:rsid w:val="1D41732E"/>
    <w:rsid w:val="1D552DD9"/>
    <w:rsid w:val="1D970CFC"/>
    <w:rsid w:val="1DCB4466"/>
    <w:rsid w:val="1DD737EE"/>
    <w:rsid w:val="1DE06B47"/>
    <w:rsid w:val="1E234C86"/>
    <w:rsid w:val="1E2D1660"/>
    <w:rsid w:val="1E641526"/>
    <w:rsid w:val="1E6A4663"/>
    <w:rsid w:val="1EA2204E"/>
    <w:rsid w:val="1EA52962"/>
    <w:rsid w:val="1EA638ED"/>
    <w:rsid w:val="1EA72C55"/>
    <w:rsid w:val="1EB83620"/>
    <w:rsid w:val="1ECA5FEF"/>
    <w:rsid w:val="1ECE2E43"/>
    <w:rsid w:val="1F394761"/>
    <w:rsid w:val="1F501AAA"/>
    <w:rsid w:val="1F6B0692"/>
    <w:rsid w:val="1FEA7DE9"/>
    <w:rsid w:val="2011123A"/>
    <w:rsid w:val="20515ADA"/>
    <w:rsid w:val="20541126"/>
    <w:rsid w:val="205B27D3"/>
    <w:rsid w:val="205E2895"/>
    <w:rsid w:val="20BD316F"/>
    <w:rsid w:val="20C01158"/>
    <w:rsid w:val="2134079F"/>
    <w:rsid w:val="215B0940"/>
    <w:rsid w:val="21617F9F"/>
    <w:rsid w:val="217E28FF"/>
    <w:rsid w:val="219F0AC7"/>
    <w:rsid w:val="21AB1930"/>
    <w:rsid w:val="21B33201"/>
    <w:rsid w:val="21BF6A73"/>
    <w:rsid w:val="21CB71C6"/>
    <w:rsid w:val="21FE1F55"/>
    <w:rsid w:val="220426D8"/>
    <w:rsid w:val="22137BB5"/>
    <w:rsid w:val="222F1E4B"/>
    <w:rsid w:val="223A5719"/>
    <w:rsid w:val="225E3F99"/>
    <w:rsid w:val="227C4964"/>
    <w:rsid w:val="22BA5BB9"/>
    <w:rsid w:val="22E569AE"/>
    <w:rsid w:val="23487068"/>
    <w:rsid w:val="2366364A"/>
    <w:rsid w:val="23897791"/>
    <w:rsid w:val="23BE0FA1"/>
    <w:rsid w:val="24194B61"/>
    <w:rsid w:val="243510D4"/>
    <w:rsid w:val="24352815"/>
    <w:rsid w:val="243C084F"/>
    <w:rsid w:val="24883A94"/>
    <w:rsid w:val="24896E8F"/>
    <w:rsid w:val="24AF7273"/>
    <w:rsid w:val="24F74EED"/>
    <w:rsid w:val="25046061"/>
    <w:rsid w:val="25270BB7"/>
    <w:rsid w:val="25284930"/>
    <w:rsid w:val="256112DB"/>
    <w:rsid w:val="257A518B"/>
    <w:rsid w:val="26855AD4"/>
    <w:rsid w:val="268C786C"/>
    <w:rsid w:val="26CF3E66"/>
    <w:rsid w:val="275C769D"/>
    <w:rsid w:val="27A046D6"/>
    <w:rsid w:val="27A847C5"/>
    <w:rsid w:val="280751E1"/>
    <w:rsid w:val="28095C8D"/>
    <w:rsid w:val="28537F15"/>
    <w:rsid w:val="28980A8C"/>
    <w:rsid w:val="28A349F9"/>
    <w:rsid w:val="28C30038"/>
    <w:rsid w:val="28D4787B"/>
    <w:rsid w:val="28D9083E"/>
    <w:rsid w:val="28DF28F3"/>
    <w:rsid w:val="28E13773"/>
    <w:rsid w:val="295108F9"/>
    <w:rsid w:val="2972074F"/>
    <w:rsid w:val="298505A2"/>
    <w:rsid w:val="29F51284"/>
    <w:rsid w:val="2A524929"/>
    <w:rsid w:val="2A751CBA"/>
    <w:rsid w:val="2AB63109"/>
    <w:rsid w:val="2AC75CEF"/>
    <w:rsid w:val="2AC948F8"/>
    <w:rsid w:val="2B1E7882"/>
    <w:rsid w:val="2B2924BB"/>
    <w:rsid w:val="2B964CE9"/>
    <w:rsid w:val="2BA47406"/>
    <w:rsid w:val="2BBE7D9C"/>
    <w:rsid w:val="2BFB7259"/>
    <w:rsid w:val="2C0954BB"/>
    <w:rsid w:val="2C9F3729"/>
    <w:rsid w:val="2D067C4C"/>
    <w:rsid w:val="2D2C4306"/>
    <w:rsid w:val="2D5B3AF4"/>
    <w:rsid w:val="2D621327"/>
    <w:rsid w:val="2D6B72D5"/>
    <w:rsid w:val="2D791E21"/>
    <w:rsid w:val="2D92328E"/>
    <w:rsid w:val="2DBB7F4B"/>
    <w:rsid w:val="2E037583"/>
    <w:rsid w:val="2E1C04AA"/>
    <w:rsid w:val="2E206AEC"/>
    <w:rsid w:val="2E6E3CFB"/>
    <w:rsid w:val="2F067A90"/>
    <w:rsid w:val="2F212B1B"/>
    <w:rsid w:val="2F260132"/>
    <w:rsid w:val="2F522CD5"/>
    <w:rsid w:val="2F6F3887"/>
    <w:rsid w:val="2F7D2448"/>
    <w:rsid w:val="2FA572A9"/>
    <w:rsid w:val="2FB7522E"/>
    <w:rsid w:val="2FBA29FF"/>
    <w:rsid w:val="2FEC7D80"/>
    <w:rsid w:val="3016447C"/>
    <w:rsid w:val="30182170"/>
    <w:rsid w:val="301D349A"/>
    <w:rsid w:val="30297EDA"/>
    <w:rsid w:val="30601421"/>
    <w:rsid w:val="30850E88"/>
    <w:rsid w:val="30D00355"/>
    <w:rsid w:val="310D4304"/>
    <w:rsid w:val="31375FF7"/>
    <w:rsid w:val="314D409C"/>
    <w:rsid w:val="31592A40"/>
    <w:rsid w:val="316D029A"/>
    <w:rsid w:val="317C5CA4"/>
    <w:rsid w:val="32205019"/>
    <w:rsid w:val="32621481"/>
    <w:rsid w:val="3267118D"/>
    <w:rsid w:val="32674CE9"/>
    <w:rsid w:val="326E7E26"/>
    <w:rsid w:val="327F2033"/>
    <w:rsid w:val="32D0288E"/>
    <w:rsid w:val="33615BDC"/>
    <w:rsid w:val="33721B98"/>
    <w:rsid w:val="33CD3272"/>
    <w:rsid w:val="33D00BC2"/>
    <w:rsid w:val="33E12879"/>
    <w:rsid w:val="340622E0"/>
    <w:rsid w:val="344A041F"/>
    <w:rsid w:val="34B61205"/>
    <w:rsid w:val="34CB3740"/>
    <w:rsid w:val="34F82570"/>
    <w:rsid w:val="35131158"/>
    <w:rsid w:val="351C000D"/>
    <w:rsid w:val="35551771"/>
    <w:rsid w:val="35B71AE4"/>
    <w:rsid w:val="35C8594A"/>
    <w:rsid w:val="35D501BC"/>
    <w:rsid w:val="35DD41CD"/>
    <w:rsid w:val="36853990"/>
    <w:rsid w:val="36877708"/>
    <w:rsid w:val="36B14785"/>
    <w:rsid w:val="37503F9E"/>
    <w:rsid w:val="375D7A2B"/>
    <w:rsid w:val="37732382"/>
    <w:rsid w:val="37AB1B1C"/>
    <w:rsid w:val="37B3452D"/>
    <w:rsid w:val="37EA2644"/>
    <w:rsid w:val="37EC6B19"/>
    <w:rsid w:val="37F012DD"/>
    <w:rsid w:val="382D4708"/>
    <w:rsid w:val="38B86D61"/>
    <w:rsid w:val="38CB7A00"/>
    <w:rsid w:val="38E726E0"/>
    <w:rsid w:val="390C65EA"/>
    <w:rsid w:val="390F0F9B"/>
    <w:rsid w:val="39111E53"/>
    <w:rsid w:val="39504729"/>
    <w:rsid w:val="398E4E20"/>
    <w:rsid w:val="39F94DC1"/>
    <w:rsid w:val="39FC665F"/>
    <w:rsid w:val="3A5913BB"/>
    <w:rsid w:val="3A971EE4"/>
    <w:rsid w:val="3AA20FB4"/>
    <w:rsid w:val="3AC9498B"/>
    <w:rsid w:val="3AC97766"/>
    <w:rsid w:val="3AE157E3"/>
    <w:rsid w:val="3B8F783F"/>
    <w:rsid w:val="3B974891"/>
    <w:rsid w:val="3BF21AC7"/>
    <w:rsid w:val="3BFC64A2"/>
    <w:rsid w:val="3C1A68AD"/>
    <w:rsid w:val="3C8D005F"/>
    <w:rsid w:val="3CA01523"/>
    <w:rsid w:val="3CB67364"/>
    <w:rsid w:val="3CC05722"/>
    <w:rsid w:val="3CCD6C33"/>
    <w:rsid w:val="3D235CB1"/>
    <w:rsid w:val="3D274C6D"/>
    <w:rsid w:val="3D42082D"/>
    <w:rsid w:val="3DA926B9"/>
    <w:rsid w:val="3DC92CFC"/>
    <w:rsid w:val="3DCC00F6"/>
    <w:rsid w:val="3DFE0BF8"/>
    <w:rsid w:val="3E4D7489"/>
    <w:rsid w:val="3E52684D"/>
    <w:rsid w:val="3E6E5520"/>
    <w:rsid w:val="3E9C5F8A"/>
    <w:rsid w:val="3E9E08AA"/>
    <w:rsid w:val="3EA13331"/>
    <w:rsid w:val="3EAE5A4E"/>
    <w:rsid w:val="3EBA6941"/>
    <w:rsid w:val="3F012022"/>
    <w:rsid w:val="3F626F64"/>
    <w:rsid w:val="3F6C1B91"/>
    <w:rsid w:val="3F984734"/>
    <w:rsid w:val="3FA42F64"/>
    <w:rsid w:val="3FC528DB"/>
    <w:rsid w:val="3FE03674"/>
    <w:rsid w:val="40040A3D"/>
    <w:rsid w:val="405D597D"/>
    <w:rsid w:val="40DE261A"/>
    <w:rsid w:val="410D4CAE"/>
    <w:rsid w:val="41281AE7"/>
    <w:rsid w:val="41742F7F"/>
    <w:rsid w:val="418036D2"/>
    <w:rsid w:val="41BD0482"/>
    <w:rsid w:val="41CC2DBB"/>
    <w:rsid w:val="41E55C2A"/>
    <w:rsid w:val="41F1637D"/>
    <w:rsid w:val="41F84165"/>
    <w:rsid w:val="422D2033"/>
    <w:rsid w:val="422E0E6F"/>
    <w:rsid w:val="423D7815"/>
    <w:rsid w:val="42497671"/>
    <w:rsid w:val="42843695"/>
    <w:rsid w:val="429513FF"/>
    <w:rsid w:val="42A31D6D"/>
    <w:rsid w:val="42A72EE0"/>
    <w:rsid w:val="42C45840"/>
    <w:rsid w:val="42C54070"/>
    <w:rsid w:val="42D33CD5"/>
    <w:rsid w:val="42E87780"/>
    <w:rsid w:val="43192030"/>
    <w:rsid w:val="432D5ADB"/>
    <w:rsid w:val="43302ED5"/>
    <w:rsid w:val="434C0057"/>
    <w:rsid w:val="438020AF"/>
    <w:rsid w:val="439D67BD"/>
    <w:rsid w:val="43D441A9"/>
    <w:rsid w:val="43E20674"/>
    <w:rsid w:val="442E425C"/>
    <w:rsid w:val="44807DD3"/>
    <w:rsid w:val="44A363BC"/>
    <w:rsid w:val="44CD1324"/>
    <w:rsid w:val="44D04970"/>
    <w:rsid w:val="44DA5E0C"/>
    <w:rsid w:val="44EE2B41"/>
    <w:rsid w:val="451C7BB5"/>
    <w:rsid w:val="458261E7"/>
    <w:rsid w:val="45965BB9"/>
    <w:rsid w:val="45CD0A54"/>
    <w:rsid w:val="4613720A"/>
    <w:rsid w:val="46291401"/>
    <w:rsid w:val="46386C71"/>
    <w:rsid w:val="463B406B"/>
    <w:rsid w:val="46C832BD"/>
    <w:rsid w:val="46CF6512"/>
    <w:rsid w:val="46E62229"/>
    <w:rsid w:val="476B0F7D"/>
    <w:rsid w:val="4770221E"/>
    <w:rsid w:val="477912EF"/>
    <w:rsid w:val="478163F5"/>
    <w:rsid w:val="480908C5"/>
    <w:rsid w:val="4839282C"/>
    <w:rsid w:val="48396644"/>
    <w:rsid w:val="485B50AC"/>
    <w:rsid w:val="48871F54"/>
    <w:rsid w:val="48AB372A"/>
    <w:rsid w:val="48B02E36"/>
    <w:rsid w:val="48CE7418"/>
    <w:rsid w:val="48F74BC1"/>
    <w:rsid w:val="494372E3"/>
    <w:rsid w:val="494E0559"/>
    <w:rsid w:val="49543DC1"/>
    <w:rsid w:val="49A14B2D"/>
    <w:rsid w:val="49B44860"/>
    <w:rsid w:val="49FB65FD"/>
    <w:rsid w:val="4A2B43F6"/>
    <w:rsid w:val="4A314103"/>
    <w:rsid w:val="4A4B4D63"/>
    <w:rsid w:val="4A6F4C2B"/>
    <w:rsid w:val="4A9D70A2"/>
    <w:rsid w:val="4AAE5753"/>
    <w:rsid w:val="4AEC627C"/>
    <w:rsid w:val="4B6879F8"/>
    <w:rsid w:val="4B904E59"/>
    <w:rsid w:val="4BC82845"/>
    <w:rsid w:val="4BCB40E3"/>
    <w:rsid w:val="4BD05255"/>
    <w:rsid w:val="4BFE3D7C"/>
    <w:rsid w:val="4C07336D"/>
    <w:rsid w:val="4C9316DD"/>
    <w:rsid w:val="4CD64061"/>
    <w:rsid w:val="4CF60CEC"/>
    <w:rsid w:val="4D0A709D"/>
    <w:rsid w:val="4D1B4BF6"/>
    <w:rsid w:val="4D5B4FF3"/>
    <w:rsid w:val="4D697710"/>
    <w:rsid w:val="4D904A55"/>
    <w:rsid w:val="4D944218"/>
    <w:rsid w:val="4DEE7E5C"/>
    <w:rsid w:val="4E037827"/>
    <w:rsid w:val="4E0555E1"/>
    <w:rsid w:val="4E1458CD"/>
    <w:rsid w:val="4E5056C3"/>
    <w:rsid w:val="4E6C3227"/>
    <w:rsid w:val="4E86609F"/>
    <w:rsid w:val="4EC45545"/>
    <w:rsid w:val="4F0D055E"/>
    <w:rsid w:val="4F3F4BCC"/>
    <w:rsid w:val="4F634454"/>
    <w:rsid w:val="4F936CC6"/>
    <w:rsid w:val="4FE54AF6"/>
    <w:rsid w:val="5060129E"/>
    <w:rsid w:val="50662E6E"/>
    <w:rsid w:val="50EF6964"/>
    <w:rsid w:val="511856D5"/>
    <w:rsid w:val="51206EDC"/>
    <w:rsid w:val="51475FBA"/>
    <w:rsid w:val="51846B84"/>
    <w:rsid w:val="51E312FA"/>
    <w:rsid w:val="522D51B0"/>
    <w:rsid w:val="52361E79"/>
    <w:rsid w:val="52AB6C67"/>
    <w:rsid w:val="52B03FE7"/>
    <w:rsid w:val="52D52AB2"/>
    <w:rsid w:val="52F7756C"/>
    <w:rsid w:val="530B67BD"/>
    <w:rsid w:val="53157AA3"/>
    <w:rsid w:val="534022E4"/>
    <w:rsid w:val="534E7AD3"/>
    <w:rsid w:val="536931D9"/>
    <w:rsid w:val="53A31324"/>
    <w:rsid w:val="53D37B83"/>
    <w:rsid w:val="542720D3"/>
    <w:rsid w:val="54613836"/>
    <w:rsid w:val="546F7BDB"/>
    <w:rsid w:val="54817A35"/>
    <w:rsid w:val="54E81862"/>
    <w:rsid w:val="54F16CCE"/>
    <w:rsid w:val="54F77CF7"/>
    <w:rsid w:val="54F95460"/>
    <w:rsid w:val="554E3DBB"/>
    <w:rsid w:val="55D63DB0"/>
    <w:rsid w:val="560B1CAC"/>
    <w:rsid w:val="561F5757"/>
    <w:rsid w:val="56544185"/>
    <w:rsid w:val="567C4300"/>
    <w:rsid w:val="568022D3"/>
    <w:rsid w:val="56925F29"/>
    <w:rsid w:val="56B22591"/>
    <w:rsid w:val="56C23D14"/>
    <w:rsid w:val="5712706A"/>
    <w:rsid w:val="576A47B0"/>
    <w:rsid w:val="57711FE2"/>
    <w:rsid w:val="577C44E3"/>
    <w:rsid w:val="57805D82"/>
    <w:rsid w:val="578348AB"/>
    <w:rsid w:val="57D61E46"/>
    <w:rsid w:val="57E722D5"/>
    <w:rsid w:val="57F24A86"/>
    <w:rsid w:val="581D7A74"/>
    <w:rsid w:val="582E57DE"/>
    <w:rsid w:val="584D65AC"/>
    <w:rsid w:val="586D09FC"/>
    <w:rsid w:val="586E207E"/>
    <w:rsid w:val="587847E5"/>
    <w:rsid w:val="58AB1524"/>
    <w:rsid w:val="58BA3013"/>
    <w:rsid w:val="59080725"/>
    <w:rsid w:val="590B423B"/>
    <w:rsid w:val="5963595B"/>
    <w:rsid w:val="599975CF"/>
    <w:rsid w:val="59AA36DA"/>
    <w:rsid w:val="5A582FE6"/>
    <w:rsid w:val="5A9372B6"/>
    <w:rsid w:val="5B1A473F"/>
    <w:rsid w:val="5B366EA4"/>
    <w:rsid w:val="5B583BEB"/>
    <w:rsid w:val="5B765E19"/>
    <w:rsid w:val="5B90055D"/>
    <w:rsid w:val="5BBC1352"/>
    <w:rsid w:val="5BC07095"/>
    <w:rsid w:val="5C545A2F"/>
    <w:rsid w:val="5C8C341B"/>
    <w:rsid w:val="5CA40E39"/>
    <w:rsid w:val="5CB169DD"/>
    <w:rsid w:val="5CF53B29"/>
    <w:rsid w:val="5D0D43A4"/>
    <w:rsid w:val="5D2921E9"/>
    <w:rsid w:val="5D3C52A9"/>
    <w:rsid w:val="5D49395E"/>
    <w:rsid w:val="5D6166D5"/>
    <w:rsid w:val="5DDD2180"/>
    <w:rsid w:val="5E055233"/>
    <w:rsid w:val="5E287173"/>
    <w:rsid w:val="5E3D04A9"/>
    <w:rsid w:val="5E3D405C"/>
    <w:rsid w:val="5E745F14"/>
    <w:rsid w:val="5E9B6682"/>
    <w:rsid w:val="5EB07418"/>
    <w:rsid w:val="5EB91C0B"/>
    <w:rsid w:val="5EC953EE"/>
    <w:rsid w:val="5EE4753E"/>
    <w:rsid w:val="5EE906B0"/>
    <w:rsid w:val="5EFB03E4"/>
    <w:rsid w:val="5F294A3B"/>
    <w:rsid w:val="5F7E1CC5"/>
    <w:rsid w:val="5FD44EBD"/>
    <w:rsid w:val="5FDC5EDE"/>
    <w:rsid w:val="5FEC48FC"/>
    <w:rsid w:val="60082DB8"/>
    <w:rsid w:val="60171E17"/>
    <w:rsid w:val="603D6F06"/>
    <w:rsid w:val="604858AA"/>
    <w:rsid w:val="607466A0"/>
    <w:rsid w:val="610537C5"/>
    <w:rsid w:val="61181721"/>
    <w:rsid w:val="611A455B"/>
    <w:rsid w:val="61265BEC"/>
    <w:rsid w:val="61333E65"/>
    <w:rsid w:val="61591C9F"/>
    <w:rsid w:val="617D3332"/>
    <w:rsid w:val="619A05C2"/>
    <w:rsid w:val="61A82AA5"/>
    <w:rsid w:val="61CB6793"/>
    <w:rsid w:val="622C52FC"/>
    <w:rsid w:val="624F1172"/>
    <w:rsid w:val="624F2F20"/>
    <w:rsid w:val="62614A02"/>
    <w:rsid w:val="62B07A33"/>
    <w:rsid w:val="632717A7"/>
    <w:rsid w:val="636649C5"/>
    <w:rsid w:val="637569B7"/>
    <w:rsid w:val="637F758D"/>
    <w:rsid w:val="63D47B81"/>
    <w:rsid w:val="63DC6A36"/>
    <w:rsid w:val="63E861FD"/>
    <w:rsid w:val="63F26259"/>
    <w:rsid w:val="6410048D"/>
    <w:rsid w:val="6416019A"/>
    <w:rsid w:val="641A130C"/>
    <w:rsid w:val="644E538B"/>
    <w:rsid w:val="647B624F"/>
    <w:rsid w:val="64B13A1E"/>
    <w:rsid w:val="64DF4A2F"/>
    <w:rsid w:val="64F97173"/>
    <w:rsid w:val="65203561"/>
    <w:rsid w:val="658630FD"/>
    <w:rsid w:val="65866706"/>
    <w:rsid w:val="6597225C"/>
    <w:rsid w:val="664A693D"/>
    <w:rsid w:val="664E5D07"/>
    <w:rsid w:val="66AA4BC9"/>
    <w:rsid w:val="670C5884"/>
    <w:rsid w:val="671604B0"/>
    <w:rsid w:val="671771FC"/>
    <w:rsid w:val="67397CFB"/>
    <w:rsid w:val="676F196F"/>
    <w:rsid w:val="6780215A"/>
    <w:rsid w:val="67BF28F6"/>
    <w:rsid w:val="67E10ABE"/>
    <w:rsid w:val="680844ED"/>
    <w:rsid w:val="68152516"/>
    <w:rsid w:val="682757D2"/>
    <w:rsid w:val="68304FEE"/>
    <w:rsid w:val="691A3D02"/>
    <w:rsid w:val="6922672F"/>
    <w:rsid w:val="693B195D"/>
    <w:rsid w:val="694F1A58"/>
    <w:rsid w:val="69AB1384"/>
    <w:rsid w:val="69B55D5F"/>
    <w:rsid w:val="69CD65EA"/>
    <w:rsid w:val="6A1707C7"/>
    <w:rsid w:val="6A170E24"/>
    <w:rsid w:val="6A3550F2"/>
    <w:rsid w:val="6AD9782B"/>
    <w:rsid w:val="6AFF300A"/>
    <w:rsid w:val="6B2C05AD"/>
    <w:rsid w:val="6B543355"/>
    <w:rsid w:val="6B7E4876"/>
    <w:rsid w:val="6B7E6624"/>
    <w:rsid w:val="6BAC453C"/>
    <w:rsid w:val="6BDD087C"/>
    <w:rsid w:val="6BE21B12"/>
    <w:rsid w:val="6BEA5A68"/>
    <w:rsid w:val="6C4909E0"/>
    <w:rsid w:val="6CE07597"/>
    <w:rsid w:val="6CE10C19"/>
    <w:rsid w:val="6CE2432E"/>
    <w:rsid w:val="6CFE0065"/>
    <w:rsid w:val="6D30394E"/>
    <w:rsid w:val="6D9143ED"/>
    <w:rsid w:val="6DAB4FF7"/>
    <w:rsid w:val="6DC81479"/>
    <w:rsid w:val="6E217E67"/>
    <w:rsid w:val="6E276AFF"/>
    <w:rsid w:val="6E396A54"/>
    <w:rsid w:val="6E3E3F05"/>
    <w:rsid w:val="6E4753F3"/>
    <w:rsid w:val="6E91253A"/>
    <w:rsid w:val="6ED749C9"/>
    <w:rsid w:val="6EF530A1"/>
    <w:rsid w:val="6F0547B6"/>
    <w:rsid w:val="6F082DD5"/>
    <w:rsid w:val="6F0E3DBF"/>
    <w:rsid w:val="6F15104E"/>
    <w:rsid w:val="6F257866"/>
    <w:rsid w:val="6F321E6A"/>
    <w:rsid w:val="6F3670AA"/>
    <w:rsid w:val="6F7F4719"/>
    <w:rsid w:val="705D4A5A"/>
    <w:rsid w:val="708F02E3"/>
    <w:rsid w:val="70A95EF1"/>
    <w:rsid w:val="70C525FF"/>
    <w:rsid w:val="70C76378"/>
    <w:rsid w:val="70F12E0C"/>
    <w:rsid w:val="71543EB7"/>
    <w:rsid w:val="717D2594"/>
    <w:rsid w:val="718B55F7"/>
    <w:rsid w:val="71D40D4C"/>
    <w:rsid w:val="72247F25"/>
    <w:rsid w:val="722E4900"/>
    <w:rsid w:val="726833E2"/>
    <w:rsid w:val="726A345E"/>
    <w:rsid w:val="727644F9"/>
    <w:rsid w:val="72B017B9"/>
    <w:rsid w:val="72BB3CBA"/>
    <w:rsid w:val="72C45265"/>
    <w:rsid w:val="72F53670"/>
    <w:rsid w:val="73337CF4"/>
    <w:rsid w:val="73A82490"/>
    <w:rsid w:val="73D74B24"/>
    <w:rsid w:val="740718AD"/>
    <w:rsid w:val="743326A2"/>
    <w:rsid w:val="747E2AED"/>
    <w:rsid w:val="748C0004"/>
    <w:rsid w:val="749E5641"/>
    <w:rsid w:val="74F02341"/>
    <w:rsid w:val="75363669"/>
    <w:rsid w:val="757F1917"/>
    <w:rsid w:val="7592164A"/>
    <w:rsid w:val="75A0590A"/>
    <w:rsid w:val="75C86E1A"/>
    <w:rsid w:val="75CE5634"/>
    <w:rsid w:val="7630676D"/>
    <w:rsid w:val="767F6765"/>
    <w:rsid w:val="769D75EF"/>
    <w:rsid w:val="76C1203A"/>
    <w:rsid w:val="76FB4FCD"/>
    <w:rsid w:val="7778661E"/>
    <w:rsid w:val="77B77146"/>
    <w:rsid w:val="77C81353"/>
    <w:rsid w:val="77E96C86"/>
    <w:rsid w:val="780B56E4"/>
    <w:rsid w:val="78FF0DA4"/>
    <w:rsid w:val="79112886"/>
    <w:rsid w:val="791615D8"/>
    <w:rsid w:val="79273E57"/>
    <w:rsid w:val="793A6280"/>
    <w:rsid w:val="794E424D"/>
    <w:rsid w:val="79F160BD"/>
    <w:rsid w:val="79FC05FF"/>
    <w:rsid w:val="79FC7092"/>
    <w:rsid w:val="7A643CD7"/>
    <w:rsid w:val="7AA2302F"/>
    <w:rsid w:val="7AAB7433"/>
    <w:rsid w:val="7AAF201F"/>
    <w:rsid w:val="7AB45BBF"/>
    <w:rsid w:val="7AC211A2"/>
    <w:rsid w:val="7B027F7C"/>
    <w:rsid w:val="7B1E74DC"/>
    <w:rsid w:val="7B920991"/>
    <w:rsid w:val="7B9A4DB4"/>
    <w:rsid w:val="7BC9569A"/>
    <w:rsid w:val="7BE44282"/>
    <w:rsid w:val="7C1728A9"/>
    <w:rsid w:val="7C4A39BD"/>
    <w:rsid w:val="7C973CD8"/>
    <w:rsid w:val="7CD90986"/>
    <w:rsid w:val="7CE53EAD"/>
    <w:rsid w:val="7D0A7D18"/>
    <w:rsid w:val="7E156974"/>
    <w:rsid w:val="7E2766A8"/>
    <w:rsid w:val="7E304F39"/>
    <w:rsid w:val="7E811E1D"/>
    <w:rsid w:val="7EEC1DCB"/>
    <w:rsid w:val="7EEE23D2"/>
    <w:rsid w:val="7EFD4725"/>
    <w:rsid w:val="7F124F6B"/>
    <w:rsid w:val="7F182BC0"/>
    <w:rsid w:val="7F313C82"/>
    <w:rsid w:val="7F4F235A"/>
    <w:rsid w:val="7FBB6EFF"/>
    <w:rsid w:val="7FC40652"/>
    <w:rsid w:val="7FD124EE"/>
    <w:rsid w:val="7FF16F6D"/>
    <w:rsid w:val="7FF47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99"/>
    <w:pPr>
      <w:jc w:val="left"/>
    </w:pPr>
  </w:style>
  <w:style w:type="paragraph" w:styleId="3">
    <w:name w:val="Body Text"/>
    <w:basedOn w:val="1"/>
    <w:semiHidden/>
    <w:qFormat/>
    <w:uiPriority w:val="0"/>
    <w:rPr>
      <w:rFonts w:ascii="仿宋" w:hAnsi="仿宋" w:eastAsia="仿宋" w:cs="仿宋"/>
      <w:sz w:val="31"/>
      <w:szCs w:val="31"/>
      <w:lang w:eastAsia="en-US"/>
    </w:rPr>
  </w:style>
  <w:style w:type="paragraph" w:styleId="4">
    <w:name w:val="Body Text Indent 2"/>
    <w:basedOn w:val="1"/>
    <w:link w:val="27"/>
    <w:qFormat/>
    <w:uiPriority w:val="99"/>
    <w:pPr>
      <w:ind w:firstLine="480" w:firstLineChars="200"/>
    </w:pPr>
    <w:rPr>
      <w:rFonts w:ascii="宋体" w:hAnsi="宋体" w:eastAsia="宋体" w:cs="Times New Roman"/>
      <w:sz w:val="24"/>
      <w:szCs w:val="24"/>
    </w:r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19"/>
    <w:semiHidden/>
    <w:unhideWhenUsed/>
    <w:qFormat/>
    <w:uiPriority w:val="99"/>
    <w:rPr>
      <w:b/>
      <w:bCs/>
    </w:rPr>
  </w:style>
  <w:style w:type="table" w:styleId="10">
    <w:name w:val="Table Grid"/>
    <w:basedOn w:val="9"/>
    <w:qFormat/>
    <w:uiPriority w:val="39"/>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Strong"/>
    <w:basedOn w:val="11"/>
    <w:qFormat/>
    <w:uiPriority w:val="22"/>
    <w:rPr>
      <w:b/>
    </w:rPr>
  </w:style>
  <w:style w:type="character" w:styleId="13">
    <w:name w:val="Hyperlink"/>
    <w:basedOn w:val="11"/>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批注框文本 Char"/>
    <w:basedOn w:val="11"/>
    <w:link w:val="5"/>
    <w:semiHidden/>
    <w:qFormat/>
    <w:uiPriority w:val="99"/>
    <w:rPr>
      <w:sz w:val="18"/>
      <w:szCs w:val="18"/>
    </w:rPr>
  </w:style>
  <w:style w:type="character" w:customStyle="1" w:styleId="18">
    <w:name w:val="批注文字 Char"/>
    <w:basedOn w:val="11"/>
    <w:link w:val="2"/>
    <w:qFormat/>
    <w:uiPriority w:val="99"/>
  </w:style>
  <w:style w:type="character" w:customStyle="1" w:styleId="19">
    <w:name w:val="批注主题 Char"/>
    <w:basedOn w:val="18"/>
    <w:link w:val="8"/>
    <w:semiHidden/>
    <w:qFormat/>
    <w:uiPriority w:val="99"/>
    <w:rPr>
      <w:b/>
      <w:bCs/>
    </w:rPr>
  </w:style>
  <w:style w:type="paragraph" w:customStyle="1" w:styleId="20">
    <w:name w:val="一级条标题"/>
    <w:next w:val="21"/>
    <w:link w:val="22"/>
    <w:qFormat/>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2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2">
    <w:name w:val="一级条标题 Char"/>
    <w:link w:val="20"/>
    <w:qFormat/>
    <w:uiPriority w:val="0"/>
    <w:rPr>
      <w:rFonts w:eastAsia="黑体"/>
      <w:sz w:val="21"/>
    </w:rPr>
  </w:style>
  <w:style w:type="paragraph" w:customStyle="1" w:styleId="23">
    <w:name w:val="章标题"/>
    <w:next w:val="21"/>
    <w:qFormat/>
    <w:uiPriority w:val="0"/>
    <w:pPr>
      <w:numPr>
        <w:ilvl w:val="1"/>
        <w:numId w:val="1"/>
      </w:numPr>
      <w:spacing w:before="50" w:beforeLines="50" w:after="50" w:afterLines="50"/>
      <w:jc w:val="both"/>
      <w:outlineLvl w:val="1"/>
    </w:pPr>
    <w:rPr>
      <w:rFonts w:ascii="黑体" w:hAnsi="Times New Roman" w:eastAsia="黑体" w:cs="Times New Roman"/>
      <w:sz w:val="21"/>
      <w:lang w:val="en-US" w:eastAsia="zh-CN" w:bidi="ar-SA"/>
    </w:rPr>
  </w:style>
  <w:style w:type="paragraph" w:styleId="24">
    <w:name w:val="List Paragraph"/>
    <w:basedOn w:val="1"/>
    <w:qFormat/>
    <w:uiPriority w:val="34"/>
    <w:pPr>
      <w:ind w:firstLine="420" w:firstLineChars="200"/>
    </w:pPr>
    <w:rPr>
      <w:sz w:val="24"/>
      <w:szCs w:val="24"/>
    </w:rPr>
  </w:style>
  <w:style w:type="character" w:customStyle="1" w:styleId="25">
    <w:name w:val="未处理的提及1"/>
    <w:basedOn w:val="11"/>
    <w:semiHidden/>
    <w:unhideWhenUsed/>
    <w:qFormat/>
    <w:uiPriority w:val="99"/>
    <w:rPr>
      <w:color w:val="605E5C"/>
      <w:shd w:val="clear" w:color="auto" w:fill="E1DFDD"/>
    </w:rPr>
  </w:style>
  <w:style w:type="table" w:customStyle="1" w:styleId="26">
    <w:name w:val="网格型3"/>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正文文本缩进 2 Char"/>
    <w:basedOn w:val="11"/>
    <w:link w:val="4"/>
    <w:qFormat/>
    <w:uiPriority w:val="99"/>
    <w:rPr>
      <w:rFonts w:ascii="宋体" w:hAnsi="宋体"/>
      <w:kern w:val="2"/>
      <w:sz w:val="24"/>
      <w:szCs w:val="24"/>
    </w:rPr>
  </w:style>
  <w:style w:type="character" w:styleId="28">
    <w:name w:val="Placeholder Text"/>
    <w:basedOn w:val="11"/>
    <w:semiHidden/>
    <w:qFormat/>
    <w:uiPriority w:val="99"/>
    <w:rPr>
      <w:color w:val="666666"/>
    </w:rPr>
  </w:style>
  <w:style w:type="paragraph" w:customStyle="1" w:styleId="2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0">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1">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2">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character" w:customStyle="1" w:styleId="33">
    <w:name w:val="15"/>
    <w:basedOn w:val="11"/>
    <w:qFormat/>
    <w:uiPriority w:val="0"/>
    <w:rPr>
      <w:rFonts w:hint="default" w:ascii="Times New Roman" w:hAnsi="Times New Roman" w:cs="Times New Roman"/>
      <w:b/>
      <w:bCs/>
      <w:sz w:val="20"/>
      <w:szCs w:val="20"/>
    </w:rPr>
  </w:style>
  <w:style w:type="paragraph" w:customStyle="1" w:styleId="34">
    <w:name w:val="标准文件_注："/>
    <w:next w:val="35"/>
    <w:qFormat/>
    <w:uiPriority w:val="0"/>
    <w:pPr>
      <w:widowControl w:val="0"/>
      <w:autoSpaceDE w:val="0"/>
      <w:autoSpaceDN w:val="0"/>
      <w:ind w:left="737" w:hanging="374"/>
      <w:jc w:val="both"/>
    </w:pPr>
    <w:rPr>
      <w:rFonts w:ascii="宋体" w:hAnsi="Times New Roman" w:eastAsia="宋体" w:cs="Times New Roman"/>
      <w:sz w:val="18"/>
      <w:szCs w:val="18"/>
      <w:lang w:val="en-US" w:eastAsia="zh-CN" w:bidi="ar-SA"/>
    </w:rPr>
  </w:style>
  <w:style w:type="paragraph" w:customStyle="1" w:styleId="35">
    <w:name w:val="标准文件_段"/>
    <w:qFormat/>
    <w:uiPriority w:val="0"/>
    <w:pPr>
      <w:autoSpaceDE w:val="0"/>
      <w:autoSpaceDN w:val="0"/>
      <w:ind w:firstLine="420" w:firstLineChars="200"/>
    </w:pPr>
    <w:rPr>
      <w:rFonts w:ascii="宋体" w:hAnsi="宋体" w:eastAsia="宋体" w:cs="Times New Roman"/>
      <w:sz w:val="21"/>
      <w:lang w:val="en-US" w:eastAsia="zh-CN" w:bidi="ar-SA"/>
    </w:rPr>
  </w:style>
  <w:style w:type="paragraph" w:customStyle="1" w:styleId="36">
    <w:name w:val="正文图标题"/>
    <w:next w:val="21"/>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37">
    <w:name w:val="标准文件_附录标识"/>
    <w:next w:val="35"/>
    <w:qFormat/>
    <w:uiPriority w:val="0"/>
    <w:p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38">
    <w:name w:val="注：（正文）"/>
    <w:basedOn w:val="39"/>
    <w:next w:val="21"/>
    <w:qFormat/>
    <w:uiPriority w:val="0"/>
    <w:pPr>
      <w:numPr>
        <w:ilvl w:val="0"/>
        <w:numId w:val="2"/>
      </w:numPr>
    </w:pPr>
  </w:style>
  <w:style w:type="paragraph" w:customStyle="1" w:styleId="39">
    <w:name w:val="注："/>
    <w:next w:val="21"/>
    <w:qFormat/>
    <w:uiPriority w:val="0"/>
    <w:pPr>
      <w:widowControl w:val="0"/>
      <w:numPr>
        <w:ilvl w:val="0"/>
        <w:numId w:val="3"/>
      </w:numPr>
      <w:autoSpaceDE w:val="0"/>
      <w:autoSpaceDN w:val="0"/>
      <w:jc w:val="both"/>
    </w:pPr>
    <w:rPr>
      <w:rFonts w:ascii="宋体" w:hAnsi="Times New Roman" w:eastAsia="宋体" w:cs="Times New Roman"/>
      <w:sz w:val="18"/>
      <w:szCs w:val="18"/>
      <w:lang w:val="en-US" w:eastAsia="zh-CN" w:bidi="ar-SA"/>
    </w:rPr>
  </w:style>
  <w:style w:type="paragraph" w:customStyle="1" w:styleId="40">
    <w:name w:val="二级条标题"/>
    <w:basedOn w:val="20"/>
    <w:next w:val="21"/>
    <w:qFormat/>
    <w:uiPriority w:val="0"/>
    <w:pPr>
      <w:spacing w:before="50" w:after="50"/>
      <w:outlineLvl w:val="3"/>
    </w:pPr>
  </w:style>
  <w:style w:type="paragraph" w:customStyle="1" w:styleId="41">
    <w:name w:val="附录标识"/>
    <w:basedOn w:val="1"/>
    <w:next w:val="21"/>
    <w:qFormat/>
    <w:uiPriority w:val="0"/>
    <w:pPr>
      <w:keepNext/>
      <w:widowControl/>
      <w:numPr>
        <w:ilvl w:val="0"/>
        <w:numId w:val="4"/>
      </w:numPr>
      <w:shd w:val="clear" w:color="FFFFFF" w:fill="FFFFFF"/>
      <w:tabs>
        <w:tab w:val="left" w:pos="360"/>
        <w:tab w:val="left" w:pos="6405"/>
      </w:tabs>
      <w:spacing w:before="640" w:after="280"/>
      <w:jc w:val="center"/>
      <w:outlineLvl w:val="0"/>
    </w:pPr>
    <w:rPr>
      <w:rFonts w:ascii="黑体" w:eastAsia="黑体"/>
      <w:kern w:val="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4197</Words>
  <Characters>4581</Characters>
  <Lines>33</Lines>
  <Paragraphs>9</Paragraphs>
  <TotalTime>3</TotalTime>
  <ScaleCrop>false</ScaleCrop>
  <LinksUpToDate>false</LinksUpToDate>
  <CharactersWithSpaces>4638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2025-05-21T01:00:00Z</dcterms:created>
  <dc:creator>元 月</dc:creator>
  <cp:lastModifiedBy>鳢·明磊</cp:lastModifiedBy>
  <dcterms:modified xsi:type="dcterms:W3CDTF">2025-06-06T06:37:03Z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5D3149C9DBFF4CF5B8B8D079C7E52545_13</vt:lpwstr>
  </property>
  <property fmtid="{D5CDD505-2E9C-101B-9397-08002B2CF9AE}" pid="4" name="KSOTemplateDocerSaveRecord">
    <vt:lpwstr>eyJoZGlkIjoiNjMzMTc1OGM5YmYzMmZhZGFlMjY0ODk5YTQxNWQyNTgiLCJ1c2VySWQiOiI2Mzc2MTkzNTkifQ==</vt:lpwstr>
  </property>
</Properties>
</file>