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19C2A">
      <w:pPr>
        <w:spacing w:line="480" w:lineRule="auto"/>
        <w:jc w:val="center"/>
        <w:rPr>
          <w:rFonts w:ascii="Times New Roman" w:hAnsi="Times New Roman" w:eastAsia="宋体" w:cs="Times New Roman"/>
          <w:b/>
          <w:bCs/>
          <w:sz w:val="28"/>
          <w:szCs w:val="28"/>
        </w:rPr>
      </w:pPr>
      <w:r>
        <w:rPr>
          <w:rFonts w:ascii="Times New Roman" w:hAnsi="Times New Roman" w:eastAsia="宋体" w:cs="Times New Roman"/>
          <w:b/>
          <w:bCs/>
          <w:sz w:val="28"/>
          <w:szCs w:val="28"/>
        </w:rPr>
        <w:t>《白酒酸酯平衡度评价方法》团体标准编制说明</w:t>
      </w:r>
    </w:p>
    <w:p w14:paraId="4F30D37E">
      <w:pPr>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征求意见</w:t>
      </w:r>
      <w:r>
        <w:rPr>
          <w:rFonts w:ascii="Times New Roman" w:hAnsi="Times New Roman" w:eastAsia="宋体" w:cs="Times New Roman"/>
          <w:sz w:val="24"/>
          <w:szCs w:val="24"/>
        </w:rPr>
        <w:t>稿）</w:t>
      </w:r>
      <w:bookmarkStart w:id="5" w:name="_GoBack"/>
      <w:bookmarkEnd w:id="5"/>
    </w:p>
    <w:p w14:paraId="1F2E799E">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一、工作简况</w:t>
      </w:r>
    </w:p>
    <w:p w14:paraId="54FC6B01">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1.任务来源</w:t>
      </w:r>
    </w:p>
    <w:p w14:paraId="72A1DF93">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邵阳学院</w:t>
      </w:r>
      <w:r>
        <w:rPr>
          <w:rFonts w:hint="eastAsia" w:ascii="Times New Roman" w:hAnsi="Times New Roman" w:eastAsia="宋体" w:cs="Times New Roman"/>
          <w:sz w:val="24"/>
          <w:szCs w:val="24"/>
        </w:rPr>
        <w:t>、茅台学院、湖南湘窖酒业有限公司</w:t>
      </w:r>
      <w:r>
        <w:rPr>
          <w:rFonts w:ascii="Times New Roman" w:hAnsi="Times New Roman" w:eastAsia="宋体" w:cs="Times New Roman"/>
          <w:sz w:val="24"/>
          <w:szCs w:val="24"/>
        </w:rPr>
        <w:t>向中国酒业协会提交《白酒酸酯平衡度评价方法》团体标准项目建议书。中国酒业协会团体标准审查委员会批准立项，由中国酒业协会牵头，组建起草单位</w:t>
      </w:r>
      <w:r>
        <w:rPr>
          <w:rFonts w:hint="eastAsia" w:ascii="Times New Roman" w:hAnsi="Times New Roman" w:eastAsia="宋体" w:cs="Times New Roman"/>
          <w:sz w:val="24"/>
          <w:szCs w:val="24"/>
        </w:rPr>
        <w:t>，</w:t>
      </w:r>
      <w:r>
        <w:rPr>
          <w:rFonts w:ascii="Times New Roman" w:hAnsi="Times New Roman" w:eastAsia="宋体" w:cs="Times New Roman"/>
          <w:sz w:val="24"/>
          <w:szCs w:val="24"/>
        </w:rPr>
        <w:t>编制《白酒酸酯平衡度评价方法》团体标准。根据团体标准项目建议书，《白酒酸酯平衡度评价方法》团体标准中国标准分类号X61（ICS分类号67.160.10）。</w:t>
      </w:r>
    </w:p>
    <w:p w14:paraId="470AFEEA">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2.起草单位（计划）</w:t>
      </w:r>
    </w:p>
    <w:p w14:paraId="0BE2423C">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邵阳学院、茅台学院、湖南湘窖酒业有限公司、中国酒业协会、江苏洋河酒厂股份有限公司、</w:t>
      </w:r>
      <w:r>
        <w:rPr>
          <w:rFonts w:ascii="Times New Roman" w:hAnsi="Times New Roman" w:eastAsia="宋体" w:cs="Times New Roman"/>
          <w:sz w:val="24"/>
          <w:szCs w:val="24"/>
        </w:rPr>
        <w:t>陕西柳林酒业集团有限公司</w:t>
      </w:r>
      <w:r>
        <w:rPr>
          <w:rFonts w:hint="eastAsia" w:ascii="Times New Roman" w:hAnsi="Times New Roman" w:eastAsia="宋体" w:cs="Times New Roman"/>
          <w:sz w:val="24"/>
          <w:szCs w:val="24"/>
        </w:rPr>
        <w:t>、</w:t>
      </w:r>
      <w:r>
        <w:rPr>
          <w:rFonts w:ascii="宋体" w:hAnsi="宋体" w:eastAsia="宋体" w:cs="宋体"/>
          <w:sz w:val="24"/>
          <w:szCs w:val="24"/>
        </w:rPr>
        <w:t>贵州安酒集团有限公司</w:t>
      </w:r>
      <w:r>
        <w:rPr>
          <w:rFonts w:hint="eastAsia" w:ascii="宋体" w:hAnsi="宋体" w:eastAsia="宋体" w:cs="宋体"/>
          <w:sz w:val="24"/>
          <w:szCs w:val="24"/>
        </w:rPr>
        <w:t>、</w:t>
      </w:r>
      <w:r>
        <w:rPr>
          <w:rFonts w:ascii="Times New Roman" w:hAnsi="Times New Roman" w:eastAsia="宋体" w:cs="Times New Roman"/>
          <w:sz w:val="24"/>
          <w:szCs w:val="24"/>
        </w:rPr>
        <w:t>小糊涂仙酒业（集团）有限公司</w:t>
      </w:r>
      <w:r>
        <w:rPr>
          <w:rFonts w:hint="eastAsia" w:ascii="Times New Roman" w:hAnsi="Times New Roman" w:eastAsia="宋体" w:cs="Times New Roman"/>
          <w:sz w:val="24"/>
          <w:szCs w:val="24"/>
        </w:rPr>
        <w:t>、北京工商大学、中原食品实验室。</w:t>
      </w:r>
    </w:p>
    <w:p w14:paraId="0213A881">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3.目的意义</w:t>
      </w:r>
    </w:p>
    <w:p w14:paraId="473412E3">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随着白酒消费市场的持续升级，市场对“年份酒”“老酒”的需求显著增长。然而，巨大的价格溢价催生了虚标年份、以新充老等乱象，国家市场监管部门抽检发现，市售“30年陈酿白酒”中虚标问题严重。</w:t>
      </w:r>
    </w:p>
    <w:p w14:paraId="33C566E2">
      <w:pPr>
        <w:spacing w:line="48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究其根源，在于行业长期缺乏科学、客观的</w:t>
      </w:r>
      <w:r>
        <w:rPr>
          <w:rFonts w:hint="eastAsia" w:ascii="Times New Roman" w:hAnsi="Times New Roman" w:eastAsia="宋体" w:cs="Times New Roman"/>
          <w:b/>
          <w:bCs/>
          <w:sz w:val="24"/>
          <w:szCs w:val="24"/>
        </w:rPr>
        <w:t>、可推广的</w:t>
      </w:r>
      <w:r>
        <w:rPr>
          <w:rFonts w:ascii="Times New Roman" w:hAnsi="Times New Roman" w:eastAsia="宋体" w:cs="Times New Roman"/>
          <w:b/>
          <w:bCs/>
          <w:sz w:val="24"/>
          <w:szCs w:val="24"/>
        </w:rPr>
        <w:t>陈酿品质评价方法</w:t>
      </w:r>
      <w:r>
        <w:rPr>
          <w:rFonts w:ascii="Times New Roman" w:hAnsi="Times New Roman" w:eastAsia="宋体" w:cs="Times New Roman"/>
          <w:sz w:val="24"/>
          <w:szCs w:val="24"/>
        </w:rPr>
        <w:t>。白酒酸酯平衡度，正是陈酿时间与酒体风味稳定性的综合体现，为破解这一困局提供了关键的化学视角。</w:t>
      </w:r>
    </w:p>
    <w:p w14:paraId="3708C378">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然而，当前国内尚无统一的白酒酸酯平衡度评价方法标准，企业自定等级缺乏统一的科学依据和评价方法，导致市场混乱；传统感官品评主观性强、难以量化，碳同位素检测成本高（单次&gt;2000元）且对勾调产品失效，现有化学指标（如酸酯总量）无法反映风味物质动态平衡——行业亟需一种基于酒体自身化学属性的客观评价工具。</w:t>
      </w:r>
    </w:p>
    <w:p w14:paraId="663FA47D">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本标准的制定旨在：</w:t>
      </w:r>
    </w:p>
    <w:p w14:paraId="32963DB5">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a）破解行业痛点，建立基于热力学平衡原理的酸酯平衡度判定体系，提供客观化、低成本（单次检测成本&lt;100元）、跨香型的通用解决方案；</w:t>
      </w:r>
    </w:p>
    <w:p w14:paraId="48CA0A9E">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b）保护消费</w:t>
      </w:r>
      <w:r>
        <w:rPr>
          <w:rFonts w:hint="eastAsia" w:ascii="Times New Roman" w:hAnsi="Times New Roman" w:eastAsia="宋体" w:cs="Times New Roman"/>
          <w:color w:val="auto"/>
          <w:sz w:val="24"/>
          <w:szCs w:val="24"/>
        </w:rPr>
        <w:t>者权益，通过平衡度评定提升消费透</w:t>
      </w:r>
      <w:r>
        <w:rPr>
          <w:rFonts w:hint="eastAsia" w:ascii="Times New Roman" w:hAnsi="Times New Roman" w:eastAsia="宋体" w:cs="Times New Roman"/>
          <w:sz w:val="24"/>
          <w:szCs w:val="24"/>
        </w:rPr>
        <w:t>明度，增强市场信任；</w:t>
      </w:r>
    </w:p>
    <w:p w14:paraId="0A061C47">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c）重建行业信誉，遏制年份酒市场虚标现象，助力白酒产业向高端化、品质化转型；</w:t>
      </w:r>
    </w:p>
    <w:p w14:paraId="27779135">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d）提升国际竞争力，填补国际蒸馏酒老熟过程质量分级的技术空白，为中国白酒出口提供技术支撑。</w:t>
      </w:r>
    </w:p>
    <w:p w14:paraId="310A67AF">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二、编制过程</w:t>
      </w:r>
    </w:p>
    <w:p w14:paraId="77387EB6">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2026年1月，</w:t>
      </w:r>
      <w:r>
        <w:rPr>
          <w:rFonts w:ascii="Times New Roman" w:hAnsi="Times New Roman" w:eastAsia="宋体" w:cs="Times New Roman"/>
          <w:sz w:val="24"/>
          <w:szCs w:val="24"/>
        </w:rPr>
        <w:t>邵阳学院、茅台学院、湖南湘窖酒业有限公司</w:t>
      </w:r>
      <w:r>
        <w:rPr>
          <w:rFonts w:hint="eastAsia" w:ascii="Times New Roman" w:hAnsi="Times New Roman" w:eastAsia="宋体" w:cs="Times New Roman"/>
          <w:sz w:val="24"/>
          <w:szCs w:val="24"/>
        </w:rPr>
        <w:t>联合提交项目建议书及申报项目情况说明，项目核心技术成果已通过中国轻工业联合会成果鉴定，达到国际领先水平。</w:t>
      </w:r>
    </w:p>
    <w:p w14:paraId="4D61F9A9">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2026年2月，中国酒业协会团体标准审查技术委员会向专家组成员发函进行立项函审</w:t>
      </w:r>
      <w:r>
        <w:rPr>
          <w:rFonts w:ascii="Times New Roman" w:hAnsi="Times New Roman" w:eastAsia="宋体" w:cs="Times New Roman"/>
          <w:sz w:val="24"/>
          <w:szCs w:val="24"/>
        </w:rPr>
        <w:t>（中酒协标【2026】</w:t>
      </w:r>
      <w:r>
        <w:rPr>
          <w:rFonts w:hint="eastAsia" w:ascii="Times New Roman" w:hAnsi="Times New Roman" w:eastAsia="宋体" w:cs="Times New Roman"/>
          <w:sz w:val="24"/>
          <w:szCs w:val="24"/>
        </w:rPr>
        <w:t>05</w:t>
      </w:r>
      <w:r>
        <w:rPr>
          <w:rFonts w:ascii="Times New Roman" w:hAnsi="Times New Roman" w:eastAsia="宋体" w:cs="Times New Roman"/>
          <w:sz w:val="24"/>
          <w:szCs w:val="24"/>
        </w:rPr>
        <w:t>号）</w:t>
      </w:r>
      <w:r>
        <w:rPr>
          <w:rFonts w:hint="eastAsia" w:ascii="Times New Roman" w:hAnsi="Times New Roman" w:eastAsia="宋体" w:cs="Times New Roman"/>
          <w:sz w:val="24"/>
          <w:szCs w:val="24"/>
        </w:rPr>
        <w:t>。审查意见基本表示赞同，协会批准立项</w:t>
      </w:r>
      <w:r>
        <w:rPr>
          <w:rFonts w:ascii="Times New Roman" w:hAnsi="Times New Roman" w:eastAsia="宋体" w:cs="Times New Roman"/>
          <w:sz w:val="24"/>
          <w:szCs w:val="24"/>
        </w:rPr>
        <w:t>（中酒协标【2026】</w:t>
      </w:r>
      <w:r>
        <w:rPr>
          <w:rFonts w:hint="eastAsia" w:ascii="Times New Roman" w:hAnsi="Times New Roman" w:eastAsia="宋体" w:cs="Times New Roman"/>
          <w:sz w:val="24"/>
          <w:szCs w:val="24"/>
        </w:rPr>
        <w:t>14</w:t>
      </w:r>
      <w:r>
        <w:rPr>
          <w:rFonts w:ascii="Times New Roman" w:hAnsi="Times New Roman" w:eastAsia="宋体" w:cs="Times New Roman"/>
          <w:sz w:val="24"/>
          <w:szCs w:val="24"/>
        </w:rPr>
        <w:t>号）</w:t>
      </w:r>
      <w:r>
        <w:rPr>
          <w:rFonts w:hint="eastAsia" w:ascii="Times New Roman" w:hAnsi="Times New Roman" w:eastAsia="宋体" w:cs="Times New Roman"/>
          <w:sz w:val="24"/>
          <w:szCs w:val="24"/>
        </w:rPr>
        <w:t>。</w:t>
      </w:r>
    </w:p>
    <w:p w14:paraId="42B3B7D0">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2026年3月，中国酒业协会公开面向社会征集起草单位</w:t>
      </w:r>
      <w:r>
        <w:rPr>
          <w:rFonts w:ascii="Times New Roman" w:hAnsi="Times New Roman" w:eastAsia="宋体" w:cs="Times New Roman"/>
          <w:sz w:val="24"/>
          <w:szCs w:val="24"/>
        </w:rPr>
        <w:t>（中酒协</w:t>
      </w:r>
      <w:r>
        <w:rPr>
          <w:rFonts w:hint="eastAsia" w:ascii="Times New Roman" w:hAnsi="Times New Roman" w:eastAsia="宋体" w:cs="Times New Roman"/>
          <w:sz w:val="24"/>
          <w:szCs w:val="24"/>
        </w:rPr>
        <w:t>白创</w:t>
      </w:r>
      <w:r>
        <w:rPr>
          <w:rFonts w:ascii="Times New Roman" w:hAnsi="Times New Roman" w:eastAsia="宋体" w:cs="Times New Roman"/>
          <w:sz w:val="24"/>
          <w:szCs w:val="24"/>
        </w:rPr>
        <w:t>【2026】</w:t>
      </w:r>
      <w:r>
        <w:rPr>
          <w:rFonts w:hint="eastAsia" w:ascii="Times New Roman" w:hAnsi="Times New Roman" w:eastAsia="宋体" w:cs="Times New Roman"/>
          <w:sz w:val="24"/>
          <w:szCs w:val="24"/>
        </w:rPr>
        <w:t>02</w:t>
      </w:r>
      <w:r>
        <w:rPr>
          <w:rFonts w:ascii="Times New Roman" w:hAnsi="Times New Roman" w:eastAsia="宋体" w:cs="Times New Roman"/>
          <w:sz w:val="24"/>
          <w:szCs w:val="24"/>
        </w:rPr>
        <w:t>号）</w:t>
      </w:r>
      <w:r>
        <w:rPr>
          <w:rFonts w:hint="eastAsia" w:ascii="Times New Roman" w:hAnsi="Times New Roman" w:eastAsia="宋体" w:cs="Times New Roman"/>
          <w:sz w:val="24"/>
          <w:szCs w:val="24"/>
        </w:rPr>
        <w:t>，由中酒协白酒技术创新战略发展工作委员会牵头，组建标准起草工作组。</w:t>
      </w:r>
    </w:p>
    <w:p w14:paraId="039F843A">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2026年3月至</w:t>
      </w:r>
      <w:r>
        <w:rPr>
          <w:rFonts w:hint="eastAsia" w:ascii="Times New Roman" w:hAnsi="Times New Roman" w:eastAsia="宋体" w:cs="Times New Roman"/>
          <w:sz w:val="24"/>
          <w:szCs w:val="24"/>
          <w:lang w:val="en-US" w:eastAsia="zh-CN"/>
        </w:rPr>
        <w:t>7</w:t>
      </w:r>
      <w:r>
        <w:rPr>
          <w:rFonts w:hint="eastAsia" w:ascii="Times New Roman" w:hAnsi="Times New Roman" w:eastAsia="宋体" w:cs="Times New Roman"/>
          <w:sz w:val="24"/>
          <w:szCs w:val="24"/>
        </w:rPr>
        <w:t>月，标准起草工作组在调研白酒行业陈酿品质评价现状及标准需求基础上，根据前期大量实验基础，结合已发表的酸酯平衡热力学研究成果（Jiang et al., 2025, Current Research in Food Science），对标准框架和主要内容进行讨论形成了标准初稿。工作组通过采集参编企业实际酒样数据进行验证测试，重点对“应用平衡常数”的测定流程、不同香型主体酯的选取、</w:t>
      </w:r>
      <w:r>
        <w:rPr>
          <w:rFonts w:ascii="Times New Roman" w:hAnsi="Times New Roman" w:eastAsia="宋体" w:cs="Times New Roman"/>
          <w:sz w:val="24"/>
          <w:szCs w:val="24"/>
        </w:rPr>
        <w:t>平衡度</w:t>
      </w:r>
      <w:r>
        <w:rPr>
          <w:rFonts w:ascii="Times New Roman" w:hAnsi="Times New Roman" w:eastAsia="宋体" w:cs="Times New Roman"/>
          <w:i/>
          <w:iCs/>
          <w:sz w:val="24"/>
          <w:szCs w:val="24"/>
        </w:rPr>
        <w:t>B</w:t>
      </w:r>
      <w:r>
        <w:rPr>
          <w:rFonts w:ascii="Times New Roman" w:hAnsi="Times New Roman" w:eastAsia="宋体" w:cs="Times New Roman"/>
          <w:sz w:val="24"/>
          <w:szCs w:val="24"/>
        </w:rPr>
        <w:t>的计算方法</w:t>
      </w:r>
      <w:r>
        <w:rPr>
          <w:rFonts w:hint="eastAsia" w:ascii="Times New Roman" w:hAnsi="Times New Roman" w:eastAsia="宋体" w:cs="Times New Roman"/>
          <w:sz w:val="24"/>
          <w:szCs w:val="24"/>
        </w:rPr>
        <w:t>等关键问题进行反馈讨论和优化调整。经讨论处理，形成征求意见稿。</w:t>
      </w:r>
      <w:r>
        <w:rPr>
          <w:rFonts w:ascii="Times New Roman" w:hAnsi="Times New Roman" w:eastAsia="宋体" w:cs="Times New Roman"/>
          <w:sz w:val="24"/>
          <w:szCs w:val="24"/>
        </w:rPr>
        <w:t xml:space="preserve"> </w:t>
      </w:r>
    </w:p>
    <w:p w14:paraId="19A05A7F">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三、编制原则和标准主要内容的论据</w:t>
      </w:r>
    </w:p>
    <w:p w14:paraId="37BC812B">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1.编制原则</w:t>
      </w:r>
    </w:p>
    <w:p w14:paraId="55B42FF4">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a）规范性</w:t>
      </w:r>
      <w:r>
        <w:rPr>
          <w:rFonts w:ascii="Times New Roman" w:hAnsi="Times New Roman" w:eastAsia="宋体" w:cs="Times New Roman"/>
          <w:sz w:val="24"/>
          <w:szCs w:val="24"/>
        </w:rPr>
        <w:t>。本标准以国家、行业现有标准为制定基础，本着先进性、科学性、合理性、可行性和可操作性的原则进行制定工作，主要依据GB/T 1.1—2020《标准化工作导则 第1部分：标准化文件的结构和起草规则》和《团体标准管理规定》等规定编写内容。</w:t>
      </w:r>
    </w:p>
    <w:p w14:paraId="7CA07B9A">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b）系统性</w:t>
      </w:r>
      <w:r>
        <w:rPr>
          <w:rFonts w:ascii="Times New Roman" w:hAnsi="Times New Roman" w:eastAsia="宋体" w:cs="Times New Roman"/>
          <w:sz w:val="24"/>
          <w:szCs w:val="24"/>
        </w:rPr>
        <w:t>。本标准的术语和定义体系与GB/T 15109—2021《白酒工业术语》及GB/T 10345—2022《白酒分析方法》界定的体系保持一致，结合陈酿热力学原理与行业现有技术水平，提出符合行业发展的评价方法。</w:t>
      </w:r>
    </w:p>
    <w:p w14:paraId="33B2CC97">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c）统一性</w:t>
      </w:r>
      <w:r>
        <w:rPr>
          <w:rFonts w:ascii="Times New Roman" w:hAnsi="Times New Roman" w:eastAsia="宋体" w:cs="Times New Roman"/>
          <w:sz w:val="24"/>
          <w:szCs w:val="24"/>
        </w:rPr>
        <w:t>。标准结构、文体和术语力求统一。各相关方的意见力求一致。</w:t>
      </w:r>
    </w:p>
    <w:p w14:paraId="6D5F8A41">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d）协调性</w:t>
      </w:r>
      <w:r>
        <w:rPr>
          <w:rFonts w:ascii="Times New Roman" w:hAnsi="Times New Roman" w:eastAsia="宋体" w:cs="Times New Roman"/>
          <w:sz w:val="24"/>
          <w:szCs w:val="24"/>
        </w:rPr>
        <w:t>。充分结合现有法律法规、基础标准的有关条款，达到标准间的相互协调一致。与《白酒分析方法》对乙酸乙酯、己酸乙酯等的测定方法协调统一，与《白酒工业术语》对陈酿、勾调等关键参数的定义保持一致。</w:t>
      </w:r>
    </w:p>
    <w:p w14:paraId="0547D1CF">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e）适用性</w:t>
      </w:r>
      <w:r>
        <w:rPr>
          <w:rFonts w:ascii="Times New Roman" w:hAnsi="Times New Roman" w:eastAsia="宋体" w:cs="Times New Roman"/>
          <w:sz w:val="24"/>
          <w:szCs w:val="24"/>
        </w:rPr>
        <w:t>。标准内容结合产业发展实际，基于大样本数据验证和统计分析，确保其科学性和可行性。</w:t>
      </w:r>
    </w:p>
    <w:p w14:paraId="2F489EC8">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2.标准主要内容的论据</w:t>
      </w:r>
    </w:p>
    <w:p w14:paraId="10003B6C">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a）标准名称及范围</w:t>
      </w:r>
    </w:p>
    <w:p w14:paraId="73F44CC3">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根据标准制定内容，本标准名称确定为《白酒酸酯平衡度评价方法》</w:t>
      </w:r>
      <w:r>
        <w:rPr>
          <w:rFonts w:hint="eastAsia" w:ascii="Times New Roman" w:hAnsi="Times New Roman" w:eastAsia="宋体" w:cs="Times New Roman"/>
          <w:sz w:val="24"/>
          <w:szCs w:val="24"/>
        </w:rPr>
        <w:t>。</w:t>
      </w:r>
      <w:r>
        <w:rPr>
          <w:rFonts w:ascii="Times New Roman" w:hAnsi="Times New Roman" w:eastAsia="宋体" w:cs="Times New Roman"/>
          <w:sz w:val="24"/>
          <w:szCs w:val="24"/>
        </w:rPr>
        <w:t>标准适用范围限定为白酒在储存期或货架期的酸酯平衡度</w:t>
      </w:r>
      <w:r>
        <w:rPr>
          <w:rFonts w:hint="eastAsia" w:ascii="Times New Roman" w:hAnsi="Times New Roman" w:eastAsia="宋体" w:cs="Times New Roman"/>
          <w:sz w:val="24"/>
          <w:szCs w:val="24"/>
        </w:rPr>
        <w:t>评价，标准</w:t>
      </w:r>
      <w:r>
        <w:rPr>
          <w:rFonts w:ascii="Times New Roman" w:hAnsi="Times New Roman" w:eastAsia="宋体" w:cs="Times New Roman"/>
          <w:sz w:val="24"/>
          <w:szCs w:val="24"/>
        </w:rPr>
        <w:t>适用范围</w:t>
      </w:r>
      <w:r>
        <w:rPr>
          <w:rFonts w:hint="eastAsia" w:ascii="Times New Roman" w:hAnsi="Times New Roman" w:eastAsia="宋体" w:cs="Times New Roman"/>
          <w:sz w:val="24"/>
          <w:szCs w:val="24"/>
        </w:rPr>
        <w:t>具有良好的香型与酒精度普适性，适用于各类香型、不同酒精度在内的各类白酒。</w:t>
      </w:r>
    </w:p>
    <w:p w14:paraId="7E31CD52">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b）规范性引用文件</w:t>
      </w:r>
    </w:p>
    <w:p w14:paraId="579EC5FD">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本标准编制主要依据包括：</w:t>
      </w:r>
    </w:p>
    <w:p w14:paraId="011E56DA">
      <w:pPr>
        <w:numPr>
          <w:ilvl w:val="0"/>
          <w:numId w:val="2"/>
        </w:num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t>GB/T 15109—2021 白酒工业术语</w:t>
      </w:r>
    </w:p>
    <w:p w14:paraId="03F697CE">
      <w:pPr>
        <w:numPr>
          <w:ilvl w:val="0"/>
          <w:numId w:val="2"/>
        </w:num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t>GB/T 10345—2022 白酒分析方法</w:t>
      </w:r>
    </w:p>
    <w:p w14:paraId="262A6C91">
      <w:pPr>
        <w:numPr>
          <w:ilvl w:val="0"/>
          <w:numId w:val="2"/>
        </w:numPr>
        <w:spacing w:line="480" w:lineRule="auto"/>
        <w:rPr>
          <w:rFonts w:ascii="Times New Roman" w:hAnsi="Times New Roman" w:eastAsia="宋体" w:cs="Times New Roman"/>
          <w:sz w:val="24"/>
          <w:szCs w:val="24"/>
        </w:rPr>
      </w:pPr>
      <w:r>
        <w:rPr>
          <w:rFonts w:ascii="Times New Roman" w:hAnsi="Times New Roman" w:eastAsia="宋体" w:cs="Times New Roman"/>
          <w:sz w:val="24"/>
          <w:szCs w:val="24"/>
        </w:rPr>
        <w:t>GB/T 10346—2023 白酒检验规则和标志、包装、运输、贮存</w:t>
      </w:r>
    </w:p>
    <w:p w14:paraId="4493B486">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c）术语和定义</w:t>
      </w:r>
    </w:p>
    <w:p w14:paraId="71815BEB">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c.1）酸酯平衡（3.1）</w:t>
      </w:r>
    </w:p>
    <w:p w14:paraId="0AB049CD">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定义为“白酒在贮存过程中，其酸、酯风味物质趋于动态平衡，是陈酿时间与酒体风味稳定性的综合体现”。该定义将热力学平衡理论与白酒感官品质相关联，体现了标准的科学内涵。项目核心技术成果显示，白酒陈酿是酸酯相互转化的动态平衡过程，随陈酿时间延长，系统趋近热力学平衡，平衡常数（K）稳定，这构成了本标准的核心科学基础。</w:t>
      </w:r>
    </w:p>
    <w:p w14:paraId="280BE1AA">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c.2）简化反应商 Q（3.2）</w:t>
      </w:r>
    </w:p>
    <w:p w14:paraId="6ADD0654">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定义为“在特定温度下，对于白酒中醇和酸的酯化反应（酸 + 醇 </w:t>
      </w:r>
      <w:r>
        <w:rPr>
          <w:rFonts w:ascii="Cambria Math" w:hAnsi="Cambria Math" w:eastAsia="宋体" w:cs="Cambria Math"/>
          <w:sz w:val="24"/>
          <w:szCs w:val="24"/>
        </w:rPr>
        <w:t>⇌</w:t>
      </w:r>
      <w:r>
        <w:rPr>
          <w:rFonts w:ascii="Times New Roman" w:hAnsi="Times New Roman" w:eastAsia="宋体" w:cs="Times New Roman"/>
          <w:sz w:val="24"/>
          <w:szCs w:val="24"/>
        </w:rPr>
        <w:t xml:space="preserve"> 酯 + 水），以各组分浓度代替活度，按反应计量系数计算的浓度商。本文件中特指某一酯类浓度与其对应有机酸浓度的比值。”。该简化处理避免了复杂的热力学活度计算，大幅降低了企业检测的技术门槛和成本，</w:t>
      </w:r>
      <w:r>
        <w:rPr>
          <w:rFonts w:hint="eastAsia" w:ascii="Times New Roman" w:hAnsi="Times New Roman" w:eastAsia="宋体" w:cs="Times New Roman"/>
          <w:sz w:val="24"/>
          <w:szCs w:val="24"/>
        </w:rPr>
        <w:t>利用企业原有的色谱仪器检测即可，无需额外购置仪器设备。第三方送样检测，单个样品检测成本低于100元。</w:t>
      </w:r>
    </w:p>
    <w:p w14:paraId="3C48C0F9">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c.3）应用平衡常数 K</w:t>
      </w:r>
      <w:r>
        <w:rPr>
          <w:rFonts w:ascii="Times New Roman" w:hAnsi="Times New Roman" w:eastAsia="宋体" w:cs="Times New Roman"/>
          <w:b/>
          <w:bCs/>
          <w:sz w:val="24"/>
          <w:szCs w:val="24"/>
          <w:vertAlign w:val="subscript"/>
        </w:rPr>
        <w:t>app</w:t>
      </w:r>
      <w:r>
        <w:rPr>
          <w:rFonts w:ascii="Times New Roman" w:hAnsi="Times New Roman" w:eastAsia="宋体" w:cs="Times New Roman"/>
          <w:b/>
          <w:bCs/>
          <w:sz w:val="24"/>
          <w:szCs w:val="24"/>
        </w:rPr>
        <w:t>（3.3）</w:t>
      </w:r>
    </w:p>
    <w:p w14:paraId="4E1FDF0E">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这是本标准最具创新性的核心概念，也是确保标准跨实验室普适性的关键技术设计。</w:t>
      </w:r>
    </w:p>
    <w:p w14:paraId="37BD0AAE">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定义为“</w:t>
      </w:r>
      <w:r>
        <w:rPr>
          <w:rFonts w:hint="eastAsia" w:ascii="Times New Roman" w:hAnsi="Times New Roman" w:eastAsia="宋体" w:cs="Times New Roman"/>
          <w:sz w:val="24"/>
          <w:szCs w:val="24"/>
        </w:rPr>
        <w:t>在特定温度、酒精度条件下，白酒中醇和酸的酯化反应达到化学平衡时，生成物浓度幂次乘积与反应物浓度幂次乘积的比值。本文件中特指标准酒样中某主体酯与其对应有机酸的浓度比值，该比值由各实验室自行测定标准酒样（自然老熟、密闭玻璃瓶储不少于15年的同酒精度白酒）得到，为适用于本实验室色谱系统条件的酸酯平衡特征值。</w:t>
      </w:r>
      <w:r>
        <w:rPr>
          <w:rFonts w:ascii="Times New Roman" w:hAnsi="Times New Roman" w:eastAsia="宋体" w:cs="Times New Roman"/>
          <w:sz w:val="24"/>
          <w:szCs w:val="24"/>
        </w:rPr>
        <w:t>”。</w:t>
      </w:r>
    </w:p>
    <w:p w14:paraId="6A4F92F2">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条文说明：传统基于固定平衡常数的方法存在根本性局限——</w:t>
      </w:r>
      <w:bookmarkStart w:id="0" w:name="OLE_LINK3"/>
      <w:r>
        <w:rPr>
          <w:rFonts w:ascii="Times New Roman" w:hAnsi="Times New Roman" w:eastAsia="宋体" w:cs="Times New Roman"/>
          <w:sz w:val="24"/>
          <w:szCs w:val="24"/>
        </w:rPr>
        <w:t>不同实验室的气相色谱仪存在系统误差，同一酒样在不同仪器上测得的酸酯浓度比值可能存在系统性偏差。</w:t>
      </w:r>
      <w:bookmarkEnd w:id="0"/>
      <w:r>
        <w:rPr>
          <w:rFonts w:ascii="Times New Roman" w:hAnsi="Times New Roman" w:eastAsia="宋体" w:cs="Times New Roman"/>
          <w:sz w:val="24"/>
          <w:szCs w:val="24"/>
        </w:rPr>
        <w:t>引入“应用平衡常数”机制后，每个实验室通过自行测定标准酒样，获得适配本实验室仪器条件的K</w:t>
      </w:r>
      <w:r>
        <w:rPr>
          <w:rFonts w:ascii="Times New Roman" w:hAnsi="Times New Roman" w:eastAsia="宋体" w:cs="Times New Roman"/>
          <w:sz w:val="24"/>
          <w:szCs w:val="24"/>
          <w:vertAlign w:val="subscript"/>
        </w:rPr>
        <w:t>app</w:t>
      </w:r>
      <w:r>
        <w:rPr>
          <w:rFonts w:ascii="Times New Roman" w:hAnsi="Times New Roman" w:eastAsia="宋体" w:cs="Times New Roman"/>
          <w:sz w:val="24"/>
          <w:szCs w:val="24"/>
        </w:rPr>
        <w:t>值。这相当于为每台仪器“校准”了一个专属的平衡基准线，从根本上消除了仪器间系统误差对判定结果的影响。前期研究表明，白酒陈酿超过10年后，酯化反应的平衡常数已趋于稳定（Jiang et al</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Current Research in Food Science</w:t>
      </w:r>
      <w:r>
        <w:rPr>
          <w:rFonts w:hint="eastAsia" w:ascii="Times New Roman" w:hAnsi="Times New Roman" w:eastAsia="宋体" w:cs="Times New Roman"/>
          <w:sz w:val="24"/>
          <w:szCs w:val="24"/>
        </w:rPr>
        <w:t>,</w:t>
      </w:r>
      <w:r>
        <w:rPr>
          <w:rFonts w:ascii="Times New Roman" w:hAnsi="Times New Roman" w:eastAsia="宋体" w:cs="Times New Roman"/>
          <w:sz w:val="24"/>
          <w:szCs w:val="24"/>
        </w:rPr>
        <w:t xml:space="preserve"> 2025</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101168），取15年作为标准酒样的最低年限更为保守和可靠。</w:t>
      </w:r>
    </w:p>
    <w:p w14:paraId="09C530AC">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c.4）</w:t>
      </w:r>
      <w:r>
        <w:rPr>
          <w:rFonts w:hint="eastAsia" w:ascii="Times New Roman" w:hAnsi="Times New Roman" w:eastAsia="宋体" w:cs="Times New Roman"/>
          <w:b/>
          <w:bCs/>
          <w:sz w:val="24"/>
          <w:szCs w:val="24"/>
        </w:rPr>
        <w:t>平衡度</w:t>
      </w:r>
      <w:r>
        <w:rPr>
          <w:rFonts w:hint="eastAsia" w:ascii="Times New Roman" w:hAnsi="Times New Roman" w:eastAsia="宋体" w:cs="Times New Roman"/>
          <w:b/>
          <w:bCs/>
          <w:i/>
          <w:iCs/>
          <w:sz w:val="24"/>
          <w:szCs w:val="24"/>
        </w:rPr>
        <w:t>B</w:t>
      </w:r>
      <w:r>
        <w:rPr>
          <w:rFonts w:ascii="Times New Roman" w:hAnsi="Times New Roman" w:eastAsia="宋体" w:cs="Times New Roman"/>
          <w:b/>
          <w:bCs/>
          <w:sz w:val="24"/>
          <w:szCs w:val="24"/>
        </w:rPr>
        <w:t>（3.4）</w:t>
      </w:r>
    </w:p>
    <w:p w14:paraId="6CE8F965">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定义为“反映酒体中主体酯类简化反应商与相应应用平衡常数整体接近程度的量化指标，取值范围为0到1。数值越接近1，表示酸酯体系越接近平衡状态。”</w:t>
      </w:r>
    </w:p>
    <w:p w14:paraId="40B47966">
      <w:pPr>
        <w:spacing w:line="48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条文说明</w:t>
      </w:r>
      <w:r>
        <w:rPr>
          <w:rFonts w:ascii="Times New Roman" w:hAnsi="Times New Roman" w:eastAsia="宋体" w:cs="Times New Roman"/>
          <w:sz w:val="24"/>
          <w:szCs w:val="24"/>
        </w:rPr>
        <w:t>：本标准未设置分级阈值，仅提供平衡度B的计算方法。采用线性截断公式 </w:t>
      </w:r>
      <m:oMath>
        <m:r>
          <m:rPr/>
          <w:rPr>
            <w:rFonts w:ascii="Cambria Math" w:hAnsi="Cambria Math" w:eastAsia="宋体" w:cs="Times New Roman"/>
            <w:sz w:val="24"/>
            <w:szCs w:val="24"/>
          </w:rPr>
          <m:t>B=1−</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D</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max</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，其中 </w:t>
      </w:r>
      <m:oMath>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D</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max</m:t>
            </m:r>
            <m:ctrlPr>
              <w:rPr>
                <w:rFonts w:ascii="Cambria Math" w:hAnsi="Cambria Math" w:eastAsia="宋体" w:cs="Times New Roman"/>
                <w:sz w:val="24"/>
                <w:szCs w:val="24"/>
              </w:rPr>
            </m:ctrlPr>
          </m:sub>
        </m:sSub>
        <m:r>
          <m:rPr/>
          <w:rPr>
            <w:rFonts w:ascii="Cambria Math" w:hAnsi="Cambria Math" w:eastAsia="宋体" w:cs="Times New Roman"/>
            <w:sz w:val="24"/>
            <w:szCs w:val="24"/>
          </w:rPr>
          <m:t>=</m:t>
        </m:r>
        <m:r>
          <m:rPr>
            <m:sty m:val="p"/>
          </m:rPr>
          <w:rPr>
            <w:rFonts w:ascii="Cambria Math" w:hAnsi="Cambria Math" w:eastAsia="宋体" w:cs="Times New Roman"/>
            <w:sz w:val="24"/>
            <w:szCs w:val="24"/>
          </w:rPr>
          <m:t>max</m:t>
        </m:r>
        <m:r>
          <m:rPr/>
          <w:rPr>
            <w:rFonts w:ascii="Cambria Math" w:hAnsi="Cambria Math" w:eastAsia="宋体" w:cs="Times New Roman"/>
            <w:sz w:val="24"/>
            <w:szCs w:val="24"/>
          </w:rPr>
          <m:t>⁡(</m:t>
        </m:r>
        <m:r>
          <m:rPr>
            <m:sty m:val="p"/>
          </m:rPr>
          <w:rPr>
            <w:rFonts w:ascii="Cambria Math" w:hAnsi="Cambria Math" w:eastAsia="宋体" w:cs="Times New Roman"/>
            <w:sz w:val="24"/>
            <w:szCs w:val="24"/>
          </w:rPr>
          <m:t>∣</m:t>
        </m:r>
        <m:r>
          <m:rPr/>
          <w:rPr>
            <w:rFonts w:ascii="Cambria Math" w:hAnsi="Cambria Math" w:eastAsia="宋体" w:cs="Times New Roman"/>
            <w:sz w:val="24"/>
            <w:szCs w:val="24"/>
          </w:rPr>
          <m:t>Q−</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K</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app</m:t>
            </m:r>
            <m:ctrlPr>
              <w:rPr>
                <w:rFonts w:ascii="Cambria Math" w:hAnsi="Cambria Math" w:eastAsia="宋体" w:cs="Times New Roman"/>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K</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app</m:t>
            </m:r>
            <m:ctrlPr>
              <w:rPr>
                <w:rFonts w:ascii="Cambria Math" w:hAnsi="Cambria Math" w:eastAsia="宋体" w:cs="Times New Roman"/>
                <w:sz w:val="24"/>
                <w:szCs w:val="24"/>
              </w:rPr>
            </m:ctrlPr>
          </m:sub>
        </m:sSub>
        <m:r>
          <m:rPr/>
          <w:rPr>
            <w:rFonts w:ascii="Cambria Math" w:hAnsi="Cambria Math" w:eastAsia="宋体" w:cs="Times New Roman"/>
            <w:sz w:val="24"/>
            <w:szCs w:val="24"/>
          </w:rPr>
          <m:t>)</m:t>
        </m:r>
      </m:oMath>
      <w:r>
        <w:rPr>
          <w:rFonts w:ascii="Times New Roman" w:hAnsi="Times New Roman" w:eastAsia="宋体" w:cs="Times New Roman"/>
          <w:sz w:val="24"/>
          <w:szCs w:val="24"/>
        </w:rPr>
        <w:t>。B值越大表示越接近平衡。不设分级阈值的原因在于：不同香型、不同工艺白酒的平衡度分布存在差异，由使用方根据自身产品特点和市场定位自行划定分级区间更为合理；同时避免因阈值设定不当而影响标准的公信力和普适性。</w:t>
      </w:r>
    </w:p>
    <w:p w14:paraId="66A2127F">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c.5）标准酒样（3.5）</w:t>
      </w:r>
    </w:p>
    <w:p w14:paraId="72AC872C">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定义为“密闭玻璃瓶储时间不少于15年，酒体达到酸酯平衡状态，用于标定应用平衡常数的同酒精度白酒样品”。将标准酒样贮存容器限定为“密闭玻璃瓶”，是为了排除陶坛贮存过程中因呼吸作用和水分散失导致的浓度变化干扰，确保标准酒样中酸酯浓度比值能真实反映热力学平衡状态。</w:t>
      </w:r>
    </w:p>
    <w:p w14:paraId="5FCA988C">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c.6）主体酯（3.6）</w:t>
      </w:r>
    </w:p>
    <w:p w14:paraId="7A4B0C8C">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定义为“在某一香型白酒中含量较高的酯类物质，通常为2～3种”。将分析对象限定为主体酯，是因为非主体酯含量低、色谱检测相对误差较大，将其纳入评价体系反而会引入噪声、降低判定可靠性。</w:t>
      </w:r>
    </w:p>
    <w:p w14:paraId="2C2D40F6">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d）原理（第</w:t>
      </w:r>
      <w:r>
        <w:rPr>
          <w:rFonts w:hint="eastAsia" w:ascii="Times New Roman" w:hAnsi="Times New Roman" w:eastAsia="宋体" w:cs="Times New Roman"/>
          <w:b/>
          <w:bCs/>
          <w:sz w:val="24"/>
          <w:szCs w:val="24"/>
        </w:rPr>
        <w:t>4</w:t>
      </w:r>
      <w:r>
        <w:rPr>
          <w:rFonts w:ascii="Times New Roman" w:hAnsi="Times New Roman" w:eastAsia="宋体" w:cs="Times New Roman"/>
          <w:b/>
          <w:bCs/>
          <w:sz w:val="24"/>
          <w:szCs w:val="24"/>
        </w:rPr>
        <w:t>章）</w:t>
      </w:r>
    </w:p>
    <w:p w14:paraId="5F21D8A2">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标准的科学基础源于白酒陈酿的热力学本质——酯化与水解可逆反应逐渐趋近平衡。</w:t>
      </w:r>
    </w:p>
    <w:p w14:paraId="3080B2B1">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蒸馏过程中，酯的沸点通常低于其对应有机酸的沸点。以乙酸乙酯和乙酸为例：乙酸乙酯的沸点为77℃，而乙酸的沸点为118℃。因此，沸点较低的酯更易挥发并优先进入基酒，导致新蒸馏出的基酒中酯的浓度普遍高于对应酸的浓度（即“酯高酸低”），整体处于偏离平衡的状态。随着陈酿时间的延长，酯化与水解可逆反应逐渐趋向平衡，酯酸比值向平衡常数收敛。</w:t>
      </w:r>
    </w:p>
    <w:p w14:paraId="54540318">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因此，白酒陈酿是酯化与水解可逆反应逐渐趋近热力学平衡的过程。达到平衡时，酯酸浓度比值（简化反应商Q）趋近于一个恒定值。</w:t>
      </w:r>
    </w:p>
    <w:p w14:paraId="3607A4E8">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热力学基础与系统误差消除：通过引入应用平衡常数，各实验室自行测定标准酒样获得K</w:t>
      </w:r>
      <w:r>
        <w:rPr>
          <w:rFonts w:ascii="Times New Roman" w:hAnsi="Times New Roman" w:eastAsia="宋体" w:cs="Times New Roman"/>
          <w:sz w:val="24"/>
          <w:szCs w:val="24"/>
          <w:vertAlign w:val="subscript"/>
        </w:rPr>
        <w:t>app</w:t>
      </w:r>
      <w:r>
        <w:rPr>
          <w:rFonts w:ascii="Times New Roman" w:hAnsi="Times New Roman" w:eastAsia="宋体" w:cs="Times New Roman"/>
          <w:sz w:val="24"/>
          <w:szCs w:val="24"/>
        </w:rPr>
        <w:t>值，消除仪器系统误差。分级逻辑采用“最大偏差决定平衡度”原则。原理适用于不同香型与酒精度的白酒，实验证明不同香型、不同酒度白酒的酸酯平衡规律一致，均能有效反映陈酿程度。</w:t>
      </w:r>
    </w:p>
    <w:p w14:paraId="5E4E356A">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关于平衡度B与年份关系的专门说明：</w:t>
      </w:r>
    </w:p>
    <w:p w14:paraId="79641B3D">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技术原理支撑：平衡度与陈酿时间在化学热力学上呈正相关，这是标准的基本逻辑。</w:t>
      </w:r>
      <w:r>
        <w:rPr>
          <w:rFonts w:ascii="Times New Roman" w:hAnsi="Times New Roman" w:eastAsia="宋体" w:cs="Times New Roman"/>
          <w:sz w:val="24"/>
          <w:szCs w:val="24"/>
        </w:rPr>
        <w:t>项目前期研究表明</w:t>
      </w:r>
      <w:r>
        <w:rPr>
          <w:rFonts w:hint="eastAsia" w:ascii="Times New Roman" w:hAnsi="Times New Roman" w:eastAsia="宋体" w:cs="Times New Roman"/>
          <w:sz w:val="24"/>
          <w:szCs w:val="24"/>
        </w:rPr>
        <w:t>，如图1所示，以乙酸乙酯、己酸乙酯为例，其简化反应商Q随陈酿时间的延长而趋近</w:t>
      </w:r>
      <w:r>
        <w:rPr>
          <w:rFonts w:ascii="Times New Roman" w:hAnsi="Times New Roman" w:eastAsia="宋体" w:cs="Times New Roman"/>
          <w:sz w:val="24"/>
          <w:szCs w:val="24"/>
        </w:rPr>
        <w:t>应用平衡常数K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，呈正相关关系。</w:t>
      </w:r>
    </w:p>
    <w:p w14:paraId="19873734">
      <w:pPr>
        <w:spacing w:line="480" w:lineRule="auto"/>
        <w:jc w:val="both"/>
        <w:rPr>
          <w:rFonts w:ascii="Times New Roman" w:hAnsi="Times New Roman" w:eastAsia="宋体" w:cs="Times New Roman"/>
          <w:sz w:val="24"/>
          <w:szCs w:val="24"/>
        </w:rPr>
      </w:pPr>
      <w:r>
        <w:drawing>
          <wp:inline distT="0" distB="0" distL="0" distR="0">
            <wp:extent cx="5274310" cy="1887855"/>
            <wp:effectExtent l="0" t="0" r="0" b="0"/>
            <wp:docPr id="8847415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4159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1887855"/>
                    </a:xfrm>
                    <a:prstGeom prst="rect">
                      <a:avLst/>
                    </a:prstGeom>
                    <a:noFill/>
                    <a:ln>
                      <a:noFill/>
                    </a:ln>
                  </pic:spPr>
                </pic:pic>
              </a:graphicData>
            </a:graphic>
          </wp:inline>
        </w:drawing>
      </w:r>
    </w:p>
    <w:p w14:paraId="735D971C">
      <w:pPr>
        <w:spacing w:line="480" w:lineRule="auto"/>
        <w:ind w:left="0" w:leftChars="0" w:right="0" w:rightChars="0"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图1：乙酸乙酯、己酸乙酯简化反应商与陈酿时间（老熟年份）的相关性</w:t>
      </w:r>
    </w:p>
    <w:p w14:paraId="687B097A">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然而，色谱方法对部分酸酯物质检测的相对误差可达5%以上（见国标GB/T 10345-2022白酒分析方法），这在数学模型反演中会被放大。同时，不同香型、不同工艺白酒的平衡度分布存在差异，实际生产中勾调、降度等工序也会影响平衡度。因此，本标准仅提供平衡度B的计算方法，不规定与陈酿年份的对应关系，亦不设置统一的分级阈值。使用方可根据自身产品特点和市场定位，基于B值进行内部品质评价和产品分级。</w:t>
      </w:r>
    </w:p>
    <w:p w14:paraId="53277459">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综上，将标准定位为“平衡度评价”，而非“强制测年工具”，更符合计量学规范与团体标准的制定原则。</w:t>
      </w:r>
    </w:p>
    <w:p w14:paraId="2BA74ACE">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e）计算方法（第</w:t>
      </w:r>
      <w:r>
        <w:rPr>
          <w:rFonts w:hint="eastAsia" w:ascii="Times New Roman" w:hAnsi="Times New Roman" w:eastAsia="宋体" w:cs="Times New Roman"/>
          <w:b/>
          <w:bCs/>
          <w:sz w:val="24"/>
          <w:szCs w:val="24"/>
        </w:rPr>
        <w:t>5</w:t>
      </w:r>
      <w:r>
        <w:rPr>
          <w:rFonts w:ascii="Times New Roman" w:hAnsi="Times New Roman" w:eastAsia="宋体" w:cs="Times New Roman"/>
          <w:b/>
          <w:bCs/>
          <w:sz w:val="24"/>
          <w:szCs w:val="24"/>
        </w:rPr>
        <w:t>章）</w:t>
      </w:r>
    </w:p>
    <w:p w14:paraId="4BED9DD2">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简化反应商Q的计算采用酯浓度与对应有机酸浓度的直接比值，避免复杂的活度计算，降低企业检测的技术门槛。</w:t>
      </w:r>
    </w:p>
    <w:p w14:paraId="75CC6B16">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每个实验室通过自行测定标准酒样，</w:t>
      </w:r>
      <w:r>
        <w:rPr>
          <w:rFonts w:hint="eastAsia" w:ascii="Times New Roman" w:hAnsi="Times New Roman" w:eastAsia="宋体" w:cs="Times New Roman"/>
          <w:sz w:val="24"/>
          <w:szCs w:val="24"/>
        </w:rPr>
        <w:t>通过计算</w:t>
      </w:r>
      <w:r>
        <w:rPr>
          <w:rFonts w:ascii="Times New Roman" w:hAnsi="Times New Roman" w:eastAsia="宋体" w:cs="Times New Roman"/>
          <w:sz w:val="24"/>
          <w:szCs w:val="24"/>
        </w:rPr>
        <w:t>获得适配本实验室仪器条件的K</w:t>
      </w:r>
      <w:r>
        <w:rPr>
          <w:rFonts w:ascii="Times New Roman" w:hAnsi="Times New Roman" w:eastAsia="宋体" w:cs="Times New Roman"/>
          <w:sz w:val="24"/>
          <w:szCs w:val="24"/>
          <w:vertAlign w:val="subscript"/>
        </w:rPr>
        <w:t>app</w:t>
      </w:r>
      <w:r>
        <w:rPr>
          <w:rFonts w:ascii="Times New Roman" w:hAnsi="Times New Roman" w:eastAsia="宋体" w:cs="Times New Roman"/>
          <w:sz w:val="24"/>
          <w:szCs w:val="24"/>
        </w:rPr>
        <w:t>值。这相当于为每台仪器“校准”了一个专属的平衡基准线，从根本上消除了仪器间系统误差对判定结果的影响。</w:t>
      </w:r>
    </w:p>
    <w:p w14:paraId="3E35171D">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平衡度B的计算：采用</w:t>
      </w:r>
      <w:r>
        <w:rPr>
          <w:rFonts w:ascii="Times New Roman" w:hAnsi="Times New Roman" w:eastAsia="宋体" w:cs="Times New Roman"/>
          <w:sz w:val="24"/>
          <w:szCs w:val="24"/>
        </w:rPr>
        <w:t>线性截断公式 </w:t>
      </w:r>
      <m:oMath>
        <m:r>
          <m:rPr/>
          <w:rPr>
            <w:rFonts w:ascii="Cambria Math" w:hAnsi="Cambria Math" w:eastAsia="宋体" w:cs="Times New Roman"/>
            <w:sz w:val="24"/>
            <w:szCs w:val="24"/>
          </w:rPr>
          <m:t>B=1−</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D</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max</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，其中 </w:t>
      </w:r>
      <m:oMath>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D</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max</m:t>
            </m:r>
            <m:ctrlPr>
              <w:rPr>
                <w:rFonts w:ascii="Cambria Math" w:hAnsi="Cambria Math" w:eastAsia="宋体" w:cs="Times New Roman"/>
                <w:sz w:val="24"/>
                <w:szCs w:val="24"/>
              </w:rPr>
            </m:ctrlPr>
          </m:sub>
        </m:sSub>
        <m:r>
          <m:rPr/>
          <w:rPr>
            <w:rFonts w:ascii="Cambria Math" w:hAnsi="Cambria Math" w:eastAsia="宋体" w:cs="Times New Roman"/>
            <w:sz w:val="24"/>
            <w:szCs w:val="24"/>
          </w:rPr>
          <m:t>=</m:t>
        </m:r>
        <m:r>
          <m:rPr>
            <m:sty m:val="p"/>
          </m:rPr>
          <w:rPr>
            <w:rFonts w:ascii="Cambria Math" w:hAnsi="Cambria Math" w:eastAsia="宋体" w:cs="Times New Roman"/>
            <w:sz w:val="24"/>
            <w:szCs w:val="24"/>
          </w:rPr>
          <m:t>max</m:t>
        </m:r>
        <m:r>
          <m:rPr/>
          <w:rPr>
            <w:rFonts w:ascii="Cambria Math" w:hAnsi="Cambria Math" w:eastAsia="宋体" w:cs="Times New Roman"/>
            <w:sz w:val="24"/>
            <w:szCs w:val="24"/>
          </w:rPr>
          <m:t>⁡(</m:t>
        </m:r>
        <m:r>
          <m:rPr>
            <m:sty m:val="p"/>
          </m:rPr>
          <w:rPr>
            <w:rFonts w:ascii="Cambria Math" w:hAnsi="Cambria Math" w:eastAsia="宋体" w:cs="Times New Roman"/>
            <w:sz w:val="24"/>
            <w:szCs w:val="24"/>
          </w:rPr>
          <m:t>∣</m:t>
        </m:r>
        <m:r>
          <m:rPr/>
          <w:rPr>
            <w:rFonts w:ascii="Cambria Math" w:hAnsi="Cambria Math" w:eastAsia="宋体" w:cs="Times New Roman"/>
            <w:sz w:val="24"/>
            <w:szCs w:val="24"/>
          </w:rPr>
          <m:t>Q−</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K</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app</m:t>
            </m:r>
            <m:ctrlPr>
              <w:rPr>
                <w:rFonts w:ascii="Cambria Math" w:hAnsi="Cambria Math" w:eastAsia="宋体" w:cs="Times New Roman"/>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K</m:t>
            </m:r>
            <m:ctrlPr>
              <w:rPr>
                <w:rFonts w:ascii="Cambria Math" w:hAnsi="Cambria Math" w:eastAsia="宋体" w:cs="Times New Roman"/>
                <w:sz w:val="24"/>
                <w:szCs w:val="24"/>
              </w:rPr>
            </m:ctrlPr>
          </m:e>
          <m:sub>
            <m:r>
              <m:rPr>
                <m:nor/>
                <m:sty m:val="p"/>
              </m:rPr>
              <w:rPr>
                <w:rFonts w:ascii="Times New Roman" w:hAnsi="Times New Roman" w:eastAsia="宋体" w:cs="Times New Roman"/>
                <w:b w:val="0"/>
                <w:i w:val="0"/>
                <w:sz w:val="24"/>
                <w:szCs w:val="24"/>
              </w:rPr>
              <m:t>app</m:t>
            </m:r>
            <m:ctrlPr>
              <w:rPr>
                <w:rFonts w:ascii="Cambria Math" w:hAnsi="Cambria Math" w:eastAsia="宋体" w:cs="Times New Roman"/>
                <w:sz w:val="24"/>
                <w:szCs w:val="24"/>
              </w:rPr>
            </m:ctrlPr>
          </m:sub>
        </m:sSub>
        <m:r>
          <m:rPr/>
          <w:rPr>
            <w:rFonts w:ascii="Cambria Math" w:hAnsi="Cambria Math" w:eastAsia="宋体" w:cs="Times New Roman"/>
            <w:sz w:val="24"/>
            <w:szCs w:val="24"/>
          </w:rPr>
          <m:t>)</m:t>
        </m:r>
      </m:oMath>
      <w:r>
        <w:rPr>
          <w:rFonts w:ascii="Times New Roman" w:hAnsi="Times New Roman" w:eastAsia="宋体" w:cs="Times New Roman"/>
          <w:sz w:val="24"/>
          <w:szCs w:val="24"/>
        </w:rPr>
        <w:t>。</w:t>
      </w:r>
      <w:r>
        <w:rPr>
          <w:rFonts w:hint="eastAsia" w:ascii="Times New Roman" w:hAnsi="Times New Roman" w:eastAsia="宋体" w:cs="Times New Roman"/>
          <w:sz w:val="24"/>
          <w:szCs w:val="24"/>
        </w:rPr>
        <w:t>其中D</w:t>
      </w:r>
      <w:r>
        <w:rPr>
          <w:rFonts w:hint="eastAsia" w:ascii="Times New Roman" w:hAnsi="Times New Roman" w:eastAsia="宋体" w:cs="Times New Roman"/>
          <w:sz w:val="24"/>
          <w:szCs w:val="24"/>
          <w:vertAlign w:val="subscript"/>
        </w:rPr>
        <w:t>max</w:t>
      </w:r>
      <w:r>
        <w:rPr>
          <w:rFonts w:hint="eastAsia" w:ascii="Times New Roman" w:hAnsi="Times New Roman" w:eastAsia="宋体" w:cs="Times New Roman"/>
          <w:sz w:val="24"/>
          <w:szCs w:val="24"/>
        </w:rPr>
        <w:t>为各主体酯相对偏差的最大值。B值越大表示越接近平衡。采用最大值而非平均值，体现了“短板原则”——只要有一种主体酯严重偏离平衡，酒体的平衡度即应被拉低，这与感官品评中“一个明显缺陷拉低整体评价”的逻辑一致。</w:t>
      </w:r>
    </w:p>
    <w:p w14:paraId="15C49193">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如表1、表2所示，定价大于500元（价格为估计值）产品的Q值接近</w:t>
      </w:r>
      <w:r>
        <w:rPr>
          <w:rFonts w:ascii="Times New Roman" w:hAnsi="Times New Roman" w:eastAsia="宋体" w:cs="Times New Roman"/>
          <w:sz w:val="24"/>
          <w:szCs w:val="24"/>
        </w:rPr>
        <w:t>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值（B值大），定价介于200元到500元之间的产品的Q值一定程度上偏离</w:t>
      </w:r>
      <w:r>
        <w:rPr>
          <w:rFonts w:ascii="Times New Roman" w:hAnsi="Times New Roman" w:eastAsia="宋体" w:cs="Times New Roman"/>
          <w:sz w:val="24"/>
          <w:szCs w:val="24"/>
        </w:rPr>
        <w:t>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值，</w:t>
      </w:r>
      <w:bookmarkStart w:id="1" w:name="OLE_LINK4"/>
      <w:r>
        <w:rPr>
          <w:rFonts w:hint="eastAsia" w:ascii="Times New Roman" w:hAnsi="Times New Roman" w:eastAsia="宋体" w:cs="Times New Roman"/>
          <w:sz w:val="24"/>
          <w:szCs w:val="24"/>
        </w:rPr>
        <w:t>定价低于200元产品</w:t>
      </w:r>
      <w:bookmarkEnd w:id="1"/>
      <w:r>
        <w:rPr>
          <w:rFonts w:hint="eastAsia" w:ascii="Times New Roman" w:hAnsi="Times New Roman" w:eastAsia="宋体" w:cs="Times New Roman"/>
          <w:sz w:val="24"/>
          <w:szCs w:val="24"/>
        </w:rPr>
        <w:t>的Q值严重偏离</w:t>
      </w:r>
      <w:r>
        <w:rPr>
          <w:rFonts w:ascii="Times New Roman" w:hAnsi="Times New Roman" w:eastAsia="宋体" w:cs="Times New Roman"/>
          <w:sz w:val="24"/>
          <w:szCs w:val="24"/>
        </w:rPr>
        <w:t>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值（B值小）。</w:t>
      </w:r>
    </w:p>
    <w:p w14:paraId="3111664E">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由于</w:t>
      </w:r>
      <w:r>
        <w:rPr>
          <w:rFonts w:ascii="Times New Roman" w:hAnsi="Times New Roman" w:eastAsia="宋体" w:cs="Times New Roman"/>
          <w:sz w:val="24"/>
          <w:szCs w:val="24"/>
        </w:rPr>
        <w:t>定价大于500元</w:t>
      </w:r>
      <w:r>
        <w:rPr>
          <w:rFonts w:hint="eastAsia" w:ascii="Times New Roman" w:hAnsi="Times New Roman" w:eastAsia="宋体" w:cs="Times New Roman"/>
          <w:sz w:val="24"/>
          <w:szCs w:val="24"/>
        </w:rPr>
        <w:t>产品的基酒储存时间、或者瓶储时间较长，其Q值接近</w:t>
      </w:r>
      <w:r>
        <w:rPr>
          <w:rFonts w:ascii="Times New Roman" w:hAnsi="Times New Roman" w:eastAsia="宋体" w:cs="Times New Roman"/>
          <w:sz w:val="24"/>
          <w:szCs w:val="24"/>
        </w:rPr>
        <w:t>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值；而</w:t>
      </w:r>
      <w:r>
        <w:rPr>
          <w:rFonts w:ascii="Times New Roman" w:hAnsi="Times New Roman" w:eastAsia="宋体" w:cs="Times New Roman"/>
          <w:sz w:val="24"/>
          <w:szCs w:val="24"/>
        </w:rPr>
        <w:t>定价低于200元产品</w:t>
      </w:r>
      <w:r>
        <w:rPr>
          <w:rFonts w:hint="eastAsia" w:ascii="Times New Roman" w:hAnsi="Times New Roman" w:eastAsia="宋体" w:cs="Times New Roman"/>
          <w:sz w:val="24"/>
          <w:szCs w:val="24"/>
        </w:rPr>
        <w:t>则相反，其Q值偏离</w:t>
      </w:r>
      <w:r>
        <w:rPr>
          <w:rFonts w:ascii="Times New Roman" w:hAnsi="Times New Roman" w:eastAsia="宋体" w:cs="Times New Roman"/>
          <w:sz w:val="24"/>
          <w:szCs w:val="24"/>
        </w:rPr>
        <w:t>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值。</w:t>
      </w:r>
    </w:p>
    <w:p w14:paraId="038E9721">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因此，可见，本方法可以客观的、以平衡度的指标，推断白酒的老熟度。为白酒企业对产品分级，提供了量化参数。为消费者选购白酒商品的决策过程，提供客观依据。</w:t>
      </w:r>
    </w:p>
    <w:p w14:paraId="104889D5">
      <w:pPr>
        <w:spacing w:line="48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表1：随机选取的、不同档次的、多批次浓香商品酒中己酸乙酯的反应商Q值</w:t>
      </w:r>
    </w:p>
    <w:p w14:paraId="49DC76BC">
      <w:pPr>
        <w:spacing w:line="480" w:lineRule="auto"/>
        <w:rPr>
          <w:rFonts w:ascii="Times New Roman" w:hAnsi="Times New Roman" w:eastAsia="宋体" w:cs="Times New Roman"/>
          <w:sz w:val="24"/>
          <w:szCs w:val="24"/>
        </w:rPr>
      </w:pPr>
      <w:r>
        <w:drawing>
          <wp:inline distT="0" distB="0" distL="0" distR="0">
            <wp:extent cx="5274310" cy="883920"/>
            <wp:effectExtent l="0" t="0" r="2540" b="0"/>
            <wp:docPr id="11832167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16789" name="图片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883920"/>
                    </a:xfrm>
                    <a:prstGeom prst="rect">
                      <a:avLst/>
                    </a:prstGeom>
                    <a:noFill/>
                    <a:ln>
                      <a:noFill/>
                    </a:ln>
                  </pic:spPr>
                </pic:pic>
              </a:graphicData>
            </a:graphic>
          </wp:inline>
        </w:drawing>
      </w:r>
    </w:p>
    <w:p w14:paraId="29C3F9A4">
      <w:pPr>
        <w:spacing w:line="48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表2：随机选取的、不同档次的、多批次浓香商品酒中乙酸乙酯的反应商Q值</w:t>
      </w:r>
    </w:p>
    <w:p w14:paraId="5E4CDF45">
      <w:pPr>
        <w:spacing w:line="480" w:lineRule="auto"/>
        <w:rPr>
          <w:rFonts w:ascii="Times New Roman" w:hAnsi="Times New Roman" w:eastAsia="宋体" w:cs="Times New Roman"/>
          <w:sz w:val="24"/>
          <w:szCs w:val="24"/>
        </w:rPr>
      </w:pPr>
      <w:r>
        <w:drawing>
          <wp:inline distT="0" distB="0" distL="0" distR="0">
            <wp:extent cx="5274310" cy="883920"/>
            <wp:effectExtent l="0" t="0" r="2540" b="0"/>
            <wp:docPr id="20478671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67193"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883920"/>
                    </a:xfrm>
                    <a:prstGeom prst="rect">
                      <a:avLst/>
                    </a:prstGeom>
                    <a:noFill/>
                    <a:ln>
                      <a:noFill/>
                    </a:ln>
                  </pic:spPr>
                </pic:pic>
              </a:graphicData>
            </a:graphic>
          </wp:inline>
        </w:drawing>
      </w:r>
    </w:p>
    <w:p w14:paraId="461E39F9">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需要补充的是，浓香型白酒基酒储存后，需要先降度，降度过程加入的水，使得平衡度有小幅度的降低（见表1，高档产品的Q值，与</w:t>
      </w:r>
      <w:r>
        <w:rPr>
          <w:rFonts w:ascii="Times New Roman" w:hAnsi="Times New Roman" w:eastAsia="宋体" w:cs="Times New Roman"/>
          <w:sz w:val="24"/>
          <w:szCs w:val="24"/>
        </w:rPr>
        <w:t>K</w:t>
      </w:r>
      <w:r>
        <w:rPr>
          <w:rFonts w:ascii="Times New Roman" w:hAnsi="Times New Roman" w:eastAsia="宋体" w:cs="Times New Roman"/>
          <w:sz w:val="24"/>
          <w:szCs w:val="24"/>
          <w:vertAlign w:val="subscript"/>
        </w:rPr>
        <w:t>app</w:t>
      </w:r>
      <w:r>
        <w:rPr>
          <w:rFonts w:hint="eastAsia" w:ascii="Times New Roman" w:hAnsi="Times New Roman" w:eastAsia="宋体" w:cs="Times New Roman"/>
          <w:sz w:val="24"/>
          <w:szCs w:val="24"/>
        </w:rPr>
        <w:t>值仍然存在较小偏离）。</w:t>
      </w:r>
    </w:p>
    <w:p w14:paraId="10A2F27B">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考虑到白酒的勾调工艺中，一般会利用不同年份的酒混合在一起。因此，我们测试了该</w:t>
      </w:r>
      <w:r>
        <w:rPr>
          <w:rFonts w:hint="eastAsia" w:ascii="Times New Roman" w:hAnsi="Times New Roman" w:eastAsia="宋体" w:cs="Times New Roman"/>
          <w:sz w:val="24"/>
          <w:szCs w:val="24"/>
        </w:rPr>
        <w:t>方法</w:t>
      </w:r>
      <w:r>
        <w:rPr>
          <w:rFonts w:ascii="Times New Roman" w:hAnsi="Times New Roman" w:eastAsia="宋体" w:cs="Times New Roman"/>
          <w:sz w:val="24"/>
          <w:szCs w:val="24"/>
        </w:rPr>
        <w:t>对混合酒样的预测。</w:t>
      </w:r>
      <w:r>
        <w:rPr>
          <w:rFonts w:hint="eastAsia" w:ascii="Times New Roman" w:hAnsi="Times New Roman" w:eastAsia="宋体" w:cs="Times New Roman"/>
          <w:sz w:val="24"/>
          <w:szCs w:val="24"/>
        </w:rPr>
        <w:t>结果显示</w:t>
      </w:r>
      <w:r>
        <w:rPr>
          <w:rFonts w:ascii="Times New Roman" w:hAnsi="Times New Roman" w:eastAsia="宋体" w:cs="Times New Roman"/>
          <w:sz w:val="24"/>
          <w:szCs w:val="24"/>
        </w:rPr>
        <w:t>，混合后酒样中的酯化反应的反应商是两种酒样中酯化反应商的算数平均值。这也</w:t>
      </w:r>
      <w:r>
        <w:rPr>
          <w:rFonts w:hint="eastAsia" w:ascii="Times New Roman" w:hAnsi="Times New Roman" w:eastAsia="宋体" w:cs="Times New Roman"/>
          <w:sz w:val="24"/>
          <w:szCs w:val="24"/>
        </w:rPr>
        <w:t>说明了</w:t>
      </w:r>
      <w:r>
        <w:rPr>
          <w:rFonts w:ascii="Times New Roman" w:hAnsi="Times New Roman" w:eastAsia="宋体" w:cs="Times New Roman"/>
          <w:sz w:val="24"/>
          <w:szCs w:val="24"/>
        </w:rPr>
        <w:t>勾调过程中酸酯含量变化的数学原理：勾调过程并不影响酯化反应进度，仅仅是普通的溶液混合过程。</w:t>
      </w:r>
      <w:r>
        <w:rPr>
          <w:rFonts w:hint="eastAsia" w:ascii="Times New Roman" w:hAnsi="Times New Roman" w:eastAsia="宋体" w:cs="Times New Roman"/>
          <w:sz w:val="24"/>
          <w:szCs w:val="24"/>
        </w:rPr>
        <w:t>即</w:t>
      </w:r>
      <w:r>
        <w:rPr>
          <w:rFonts w:ascii="Times New Roman" w:hAnsi="Times New Roman" w:eastAsia="宋体" w:cs="Times New Roman"/>
          <w:sz w:val="24"/>
          <w:szCs w:val="24"/>
        </w:rPr>
        <w:t>，混合后酒样的</w:t>
      </w:r>
      <w:r>
        <w:rPr>
          <w:rFonts w:hint="eastAsia" w:ascii="Times New Roman" w:hAnsi="Times New Roman" w:eastAsia="宋体" w:cs="Times New Roman"/>
          <w:sz w:val="24"/>
          <w:szCs w:val="24"/>
        </w:rPr>
        <w:t>Q</w:t>
      </w:r>
      <w:r>
        <w:rPr>
          <w:rFonts w:ascii="Times New Roman" w:hAnsi="Times New Roman" w:eastAsia="宋体" w:cs="Times New Roman"/>
          <w:sz w:val="24"/>
          <w:szCs w:val="24"/>
        </w:rPr>
        <w:t>值是混合前酒样</w:t>
      </w:r>
      <w:r>
        <w:rPr>
          <w:rFonts w:hint="eastAsia" w:ascii="Times New Roman" w:hAnsi="Times New Roman" w:eastAsia="宋体" w:cs="Times New Roman"/>
          <w:sz w:val="24"/>
          <w:szCs w:val="24"/>
        </w:rPr>
        <w:t>Q</w:t>
      </w:r>
      <w:r>
        <w:rPr>
          <w:rFonts w:ascii="Times New Roman" w:hAnsi="Times New Roman" w:eastAsia="宋体" w:cs="Times New Roman"/>
          <w:sz w:val="24"/>
          <w:szCs w:val="24"/>
        </w:rPr>
        <w:t>值的算数平均值</w:t>
      </w:r>
      <w:r>
        <w:rPr>
          <w:rFonts w:hint="eastAsia" w:ascii="Times New Roman" w:hAnsi="Times New Roman" w:eastAsia="宋体" w:cs="Times New Roman"/>
          <w:sz w:val="24"/>
          <w:szCs w:val="24"/>
        </w:rPr>
        <w:t>，该方法对不同年份的混合酒样仍然适用。</w:t>
      </w:r>
      <w:r>
        <w:rPr>
          <w:rFonts w:hint="eastAsia" w:ascii="Times New Roman" w:hAnsi="Times New Roman" w:eastAsia="宋体" w:cs="Times New Roman"/>
          <w:b/>
          <w:bCs/>
          <w:sz w:val="24"/>
          <w:szCs w:val="24"/>
        </w:rPr>
        <w:t>也就是说，商品酒中老酒的占比越多，其Q值越接近</w:t>
      </w:r>
      <w:r>
        <w:rPr>
          <w:rFonts w:ascii="Times New Roman" w:hAnsi="Times New Roman" w:eastAsia="宋体" w:cs="Times New Roman"/>
          <w:b/>
          <w:bCs/>
          <w:sz w:val="24"/>
          <w:szCs w:val="24"/>
        </w:rPr>
        <w:t>K</w:t>
      </w:r>
      <w:r>
        <w:rPr>
          <w:rFonts w:ascii="Times New Roman" w:hAnsi="Times New Roman" w:eastAsia="宋体" w:cs="Times New Roman"/>
          <w:b/>
          <w:bCs/>
          <w:sz w:val="24"/>
          <w:szCs w:val="24"/>
          <w:vertAlign w:val="subscript"/>
        </w:rPr>
        <w:t>app</w:t>
      </w:r>
      <w:r>
        <w:rPr>
          <w:rFonts w:hint="eastAsia" w:ascii="Times New Roman" w:hAnsi="Times New Roman" w:eastAsia="宋体" w:cs="Times New Roman"/>
          <w:b/>
          <w:bCs/>
          <w:sz w:val="24"/>
          <w:szCs w:val="24"/>
        </w:rPr>
        <w:t>值，B值越高。传统勾调工艺其实遵循了热力学原理，本方法，只不过是将其中的热力学原理，清晰的呈现了出来，变成客观的评定方法。</w:t>
      </w:r>
    </w:p>
    <w:p w14:paraId="563D172C">
      <w:pPr>
        <w:spacing w:line="480" w:lineRule="auto"/>
        <w:rPr>
          <w:rFonts w:ascii="Times New Roman" w:hAnsi="Times New Roman" w:eastAsia="宋体" w:cs="Times New Roman"/>
          <w:sz w:val="24"/>
          <w:szCs w:val="24"/>
        </w:rPr>
      </w:pPr>
      <w:r>
        <w:rPr>
          <w:rFonts w:hint="eastAsia" w:ascii="Times New Roman" w:hAnsi="Times New Roman" w:eastAsia="宋体" w:cs="Times New Roman"/>
          <w:b/>
          <w:bCs/>
          <w:sz w:val="24"/>
          <w:szCs w:val="24"/>
        </w:rPr>
        <w:t>f</w:t>
      </w:r>
      <w:r>
        <w:rPr>
          <w:rFonts w:ascii="Times New Roman" w:hAnsi="Times New Roman" w:eastAsia="宋体" w:cs="Times New Roman"/>
          <w:b/>
          <w:bCs/>
          <w:sz w:val="24"/>
          <w:szCs w:val="24"/>
        </w:rPr>
        <w:t>）评定方法（第</w:t>
      </w:r>
      <w:r>
        <w:rPr>
          <w:rFonts w:hint="eastAsia" w:ascii="Times New Roman" w:hAnsi="Times New Roman" w:eastAsia="宋体" w:cs="Times New Roman"/>
          <w:b/>
          <w:bCs/>
          <w:sz w:val="24"/>
          <w:szCs w:val="24"/>
        </w:rPr>
        <w:t>6</w:t>
      </w:r>
      <w:r>
        <w:rPr>
          <w:rFonts w:ascii="Times New Roman" w:hAnsi="Times New Roman" w:eastAsia="宋体" w:cs="Times New Roman"/>
          <w:b/>
          <w:bCs/>
          <w:sz w:val="24"/>
          <w:szCs w:val="24"/>
        </w:rPr>
        <w:t>章）</w:t>
      </w:r>
    </w:p>
    <w:p w14:paraId="00AEDF8F">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标准明确了样品准备、主体酯选择（各香型推荐表）、浓度测定（按GB/T 10345</w:t>
      </w:r>
      <w:r>
        <w:rPr>
          <w:rFonts w:ascii="Times New Roman" w:hAnsi="Times New Roman" w:eastAsia="宋体" w:cs="Times New Roman"/>
          <w:sz w:val="24"/>
          <w:szCs w:val="24"/>
        </w:rPr>
        <w:t>—</w:t>
      </w:r>
      <w:r>
        <w:rPr>
          <w:rFonts w:hint="eastAsia" w:ascii="Times New Roman" w:hAnsi="Times New Roman" w:eastAsia="宋体" w:cs="Times New Roman"/>
          <w:sz w:val="24"/>
          <w:szCs w:val="24"/>
        </w:rPr>
        <w:t>2022）、平衡度B的计算流程、结果表示及精密度要求。</w:t>
      </w:r>
    </w:p>
    <w:p w14:paraId="4FC32BFE">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各香型主体酯选取参考了GB/T 10781系列标准对各香型特征酯的规定以及实际生产中的含量水平。</w:t>
      </w:r>
    </w:p>
    <w:p w14:paraId="0D7B8E36">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精密度要求：同一实验室在相同条件下对同一样品进行两次独立测定，平衡度B的绝对差值应不大于0.05，保障了方法的重现性。</w:t>
      </w:r>
    </w:p>
    <w:p w14:paraId="580B71E0">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关于勾调产品的适用性说明：项目前期研究表明，混合后酒样中的酯化反应的反应商是两种酒样中酯化反应商的算术平均值。这说明勾调过程中酸酯含量变化遵循普通的溶液混合规律，不影响本方法的适用性。商品酒中老酒占比越高，其B值越接近100%(即平衡度越高)。</w:t>
      </w:r>
    </w:p>
    <w:p w14:paraId="4A1C8A6C">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鉴定成果及已发表文章：</w:t>
      </w:r>
    </w:p>
    <w:p w14:paraId="43F7283A">
      <w:pPr>
        <w:rPr>
          <w:rFonts w:ascii="Times New Roman" w:hAnsi="Times New Roman" w:eastAsia="宋体" w:cs="Times New Roman"/>
          <w:sz w:val="18"/>
          <w:szCs w:val="18"/>
        </w:rPr>
      </w:pPr>
      <w:bookmarkStart w:id="2" w:name="OLE_LINK2"/>
      <w:bookmarkStart w:id="3" w:name="OLE_LINK1"/>
      <w:r>
        <w:rPr>
          <w:rFonts w:ascii="Times New Roman" w:hAnsi="Times New Roman" w:eastAsia="宋体" w:cs="Times New Roman"/>
          <w:sz w:val="18"/>
          <w:szCs w:val="18"/>
        </w:rPr>
        <w:t>（</w:t>
      </w:r>
      <w:r>
        <w:rPr>
          <w:rFonts w:hint="eastAsia" w:ascii="Times New Roman" w:hAnsi="Times New Roman" w:eastAsia="宋体" w:cs="Times New Roman"/>
          <w:sz w:val="18"/>
          <w:szCs w:val="18"/>
        </w:rPr>
        <w:t>1</w:t>
      </w:r>
      <w:r>
        <w:rPr>
          <w:rFonts w:ascii="Times New Roman" w:hAnsi="Times New Roman" w:eastAsia="宋体" w:cs="Times New Roman"/>
          <w:sz w:val="18"/>
          <w:szCs w:val="18"/>
        </w:rPr>
        <w:t>）</w:t>
      </w:r>
      <w:r>
        <w:rPr>
          <w:rFonts w:hint="eastAsia" w:ascii="Times New Roman" w:hAnsi="Times New Roman" w:eastAsia="宋体" w:cs="Times New Roman"/>
          <w:sz w:val="18"/>
          <w:szCs w:val="18"/>
        </w:rPr>
        <w:t>中轻联科鉴字[2025]第285号，</w:t>
      </w:r>
      <w:bookmarkEnd w:id="2"/>
      <w:bookmarkEnd w:id="3"/>
      <w:r>
        <w:rPr>
          <w:rFonts w:ascii="Times New Roman" w:hAnsi="Times New Roman" w:eastAsia="宋体" w:cs="Times New Roman"/>
          <w:sz w:val="18"/>
          <w:szCs w:val="18"/>
        </w:rPr>
        <w:t>该成果创新提出基于酸酯平衡的年份白酒鉴定技术，以不同储存年限酒体中酸酯平衡常数为特征指标，通过酸酯比例与平衡常数的偏离程度实现年份真伪判定，开发的预测方法操作简便、成本低、准确率较高。该成果技术成熟度较高，产业化前景广阔，可为白酒企业高质量生产提供技术支撑，助力规范年份酒市场秩序具有重要意义。</w:t>
      </w:r>
    </w:p>
    <w:p w14:paraId="7BCF0E7C">
      <w:pP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2</w:t>
      </w:r>
      <w:r>
        <w:rPr>
          <w:rFonts w:ascii="Times New Roman" w:hAnsi="Times New Roman" w:eastAsia="宋体" w:cs="Times New Roman"/>
          <w:sz w:val="18"/>
          <w:szCs w:val="18"/>
        </w:rPr>
        <w:t>）基于酸酯平衡的年份白酒鉴定技术。Current Research in Food Science 11 (2025) 101168</w:t>
      </w:r>
    </w:p>
    <w:p w14:paraId="516BADF2">
      <w:pP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3</w:t>
      </w:r>
      <w:r>
        <w:rPr>
          <w:rFonts w:ascii="Times New Roman" w:hAnsi="Times New Roman" w:eastAsia="宋体" w:cs="Times New Roman"/>
          <w:sz w:val="18"/>
          <w:szCs w:val="18"/>
        </w:rPr>
        <w:t>）白酒陈酿过程中酯化反应的平衡。LWT 192 (2024): 115735.</w:t>
      </w:r>
    </w:p>
    <w:p w14:paraId="2AFD0358">
      <w:pP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）为什么白酒陈酿后具有协调的风味?热力学分析。Journal of Food Composition and Analysis 123 (2023): 105609. </w:t>
      </w:r>
    </w:p>
    <w:p w14:paraId="4776060F">
      <w:pP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5</w:t>
      </w:r>
      <w:r>
        <w:rPr>
          <w:rFonts w:ascii="Times New Roman" w:hAnsi="Times New Roman" w:eastAsia="宋体" w:cs="Times New Roman"/>
          <w:sz w:val="18"/>
          <w:szCs w:val="18"/>
        </w:rPr>
        <w:t>）为什么白酒陈酿至关重要？乙醛与乙缩醛的相互转化。Journal of Food Composition and Analysis 148 (2025) 108222</w:t>
      </w:r>
    </w:p>
    <w:p w14:paraId="15D3450B">
      <w:pP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6</w:t>
      </w:r>
      <w:r>
        <w:rPr>
          <w:rFonts w:ascii="Times New Roman" w:hAnsi="Times New Roman" w:eastAsia="宋体" w:cs="Times New Roman"/>
          <w:sz w:val="18"/>
          <w:szCs w:val="18"/>
        </w:rPr>
        <w:t>）为什么白酒可呈现微黄的色泽？ Food Chemistry 463 (2025): 141469.</w:t>
      </w:r>
    </w:p>
    <w:p w14:paraId="650C776F">
      <w:pP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7</w:t>
      </w:r>
      <w:r>
        <w:rPr>
          <w:rFonts w:ascii="Times New Roman" w:hAnsi="Times New Roman" w:eastAsia="宋体" w:cs="Times New Roman"/>
          <w:sz w:val="18"/>
          <w:szCs w:val="18"/>
        </w:rPr>
        <w:t>） 提高白酒标准化程度的热力学勾调技术。Food Chemistry 493 (2025) 145960</w:t>
      </w:r>
    </w:p>
    <w:p w14:paraId="2A4EBF42">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四、标准中涉及的专利</w:t>
      </w:r>
    </w:p>
    <w:p w14:paraId="2A0C09F7">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按照GB/T 20003.1</w:t>
      </w:r>
      <w:r>
        <w:rPr>
          <w:rFonts w:ascii="Times New Roman" w:hAnsi="Times New Roman" w:eastAsia="宋体" w:cs="Times New Roman"/>
          <w:sz w:val="24"/>
          <w:szCs w:val="24"/>
        </w:rPr>
        <w:t>—</w:t>
      </w:r>
      <w:r>
        <w:rPr>
          <w:rFonts w:hint="eastAsia" w:ascii="Times New Roman" w:hAnsi="Times New Roman" w:eastAsia="宋体" w:cs="Times New Roman"/>
          <w:sz w:val="24"/>
          <w:szCs w:val="24"/>
        </w:rPr>
        <w:t>2014《标准制定的特殊程序 第1部分：涉及专利的标准》、GB/Z 43194</w:t>
      </w:r>
      <w:r>
        <w:rPr>
          <w:rFonts w:ascii="Times New Roman" w:hAnsi="Times New Roman" w:eastAsia="宋体" w:cs="Times New Roman"/>
          <w:sz w:val="24"/>
          <w:szCs w:val="24"/>
        </w:rPr>
        <w:t>—</w:t>
      </w:r>
      <w:r>
        <w:rPr>
          <w:rFonts w:hint="eastAsia" w:ascii="Times New Roman" w:hAnsi="Times New Roman" w:eastAsia="宋体" w:cs="Times New Roman"/>
          <w:sz w:val="24"/>
          <w:szCs w:val="24"/>
        </w:rPr>
        <w:t>2023《团体标准涉及专利处置指南》进行处置。项目参与单位拥有完全知识产权，开放知识产权许可。涉及专利清单如下：</w:t>
      </w:r>
    </w:p>
    <w:p w14:paraId="2AE70B0B">
      <w:pPr>
        <w:spacing w:line="48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sz w:val="24"/>
          <w:szCs w:val="24"/>
        </w:rPr>
        <w:t>（1）一种提高白酒酯香稳定性的辅助勾调方法，CN115960691A，2022.12.27（授权）；（2）一种提高白酒标准化程度的勾调方法，CN120137742A，2025.02.28（实质审查）；（3）一种鉴定白酒年份真伪的方法，CN120334487A，2025.04.30（实质审查）</w:t>
      </w:r>
      <w:r>
        <w:rPr>
          <w:rFonts w:hint="eastAsia" w:ascii="Times New Roman" w:hAnsi="Times New Roman" w:eastAsia="宋体" w:cs="Times New Roman"/>
          <w:color w:val="auto"/>
          <w:sz w:val="24"/>
          <w:szCs w:val="24"/>
        </w:rPr>
        <w:t>；（4）</w:t>
      </w:r>
      <w:r>
        <w:rPr>
          <w:rFonts w:ascii="Times New Roman" w:hAnsi="Times New Roman" w:eastAsia="宋体" w:cs="Times New Roman"/>
          <w:color w:val="auto"/>
          <w:sz w:val="24"/>
          <w:szCs w:val="24"/>
        </w:rPr>
        <w:t>一种基于酸酯平衡原理的白酒老熟度分级方法</w:t>
      </w:r>
      <w:r>
        <w:rPr>
          <w:rFonts w:hint="eastAsia" w:ascii="Times New Roman" w:hAnsi="Times New Roman" w:eastAsia="宋体" w:cs="Times New Roman"/>
          <w:color w:val="auto"/>
          <w:sz w:val="24"/>
          <w:szCs w:val="24"/>
        </w:rPr>
        <w:t>，申请号</w:t>
      </w:r>
      <w:r>
        <w:rPr>
          <w:rFonts w:ascii="Times New Roman" w:hAnsi="Times New Roman" w:eastAsia="宋体" w:cs="Times New Roman"/>
          <w:color w:val="auto"/>
          <w:sz w:val="24"/>
          <w:szCs w:val="24"/>
        </w:rPr>
        <w:t>202610752507.5</w:t>
      </w:r>
      <w:r>
        <w:rPr>
          <w:rFonts w:hint="eastAsia" w:ascii="Times New Roman" w:hAnsi="Times New Roman" w:eastAsia="宋体" w:cs="Times New Roman"/>
          <w:color w:val="auto"/>
          <w:sz w:val="24"/>
          <w:szCs w:val="24"/>
        </w:rPr>
        <w:t>，2026.05.28（已受理，待实质审查）。</w:t>
      </w:r>
    </w:p>
    <w:p w14:paraId="7C9F7551">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五、采用国际标准和国外先进标准的程度，以及与国际、国外同类标准水平的对比情况，或与测试的国外样品、样机的有关数据对比情况。</w:t>
      </w:r>
    </w:p>
    <w:p w14:paraId="0C6499D8">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本标准为自主创新性标准，基于国内科研团队对白酒陈酿热力学原理的系统研究成果（相关技术发表一区、二区论文10篇），核心技术已通过中国轻工业联合会成果鉴定，达到国际领先水平。</w:t>
      </w:r>
    </w:p>
    <w:p w14:paraId="0A6E98DD">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经查新检索，国际上无对应标准。在国际蒸馏酒领域，对威士忌、白兰地等产品的成熟度研究主要依赖碳同位素检测和风味物质分析，存在成本高、跨品类适用性差的局限。本标准的制定填补了白酒陈酿品质客观化学评价方法的国内外标准空白。</w:t>
      </w:r>
    </w:p>
    <w:p w14:paraId="4FEAFBE6">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六、与有关的现行</w:t>
      </w:r>
      <w:r>
        <w:rPr>
          <w:rFonts w:hint="eastAsia" w:ascii="Times New Roman" w:hAnsi="Times New Roman" w:eastAsia="宋体" w:cs="Times New Roman"/>
          <w:b/>
          <w:bCs/>
          <w:sz w:val="24"/>
          <w:szCs w:val="24"/>
        </w:rPr>
        <w:t>法律法规</w:t>
      </w:r>
      <w:r>
        <w:rPr>
          <w:rFonts w:ascii="Times New Roman" w:hAnsi="Times New Roman" w:eastAsia="宋体" w:cs="Times New Roman"/>
          <w:b/>
          <w:bCs/>
          <w:sz w:val="24"/>
          <w:szCs w:val="24"/>
        </w:rPr>
        <w:t>和强制性国家标准的关系</w:t>
      </w:r>
    </w:p>
    <w:p w14:paraId="04CE8771">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标准从白酒陈酿品质客观评价的需求出发，参考了国内相关科研成果和行业实践，体现了科学性、先进性和可操作性原则。在制定过程中充分考虑国内相关法规要求，与现行法律、法规和强制性国家标准协调一致。</w:t>
      </w:r>
    </w:p>
    <w:p w14:paraId="022EA836">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与国内相关标准的协调配套关系：</w:t>
      </w:r>
    </w:p>
    <w:p w14:paraId="52F7CEE5">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适配《白酒工业术语》（GB/T 15109</w:t>
      </w:r>
      <w:r>
        <w:rPr>
          <w:rFonts w:ascii="Times New Roman" w:hAnsi="Times New Roman" w:eastAsia="宋体" w:cs="Times New Roman"/>
          <w:sz w:val="24"/>
          <w:szCs w:val="24"/>
        </w:rPr>
        <w:t>—</w:t>
      </w:r>
      <w:r>
        <w:rPr>
          <w:rFonts w:hint="eastAsia" w:ascii="Times New Roman" w:hAnsi="Times New Roman" w:eastAsia="宋体" w:cs="Times New Roman"/>
          <w:sz w:val="24"/>
          <w:szCs w:val="24"/>
        </w:rPr>
        <w:t>2021）对勾调、陈酿等关键参数的定义，确保技术术语统一；</w:t>
      </w:r>
    </w:p>
    <w:p w14:paraId="07C918A4">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适配《白酒分析方法》（GB/T 10345</w:t>
      </w:r>
      <w:r>
        <w:rPr>
          <w:rFonts w:ascii="Times New Roman" w:hAnsi="Times New Roman" w:eastAsia="宋体" w:cs="Times New Roman"/>
          <w:sz w:val="24"/>
          <w:szCs w:val="24"/>
        </w:rPr>
        <w:t>—</w:t>
      </w:r>
      <w:r>
        <w:rPr>
          <w:rFonts w:hint="eastAsia" w:ascii="Times New Roman" w:hAnsi="Times New Roman" w:eastAsia="宋体" w:cs="Times New Roman"/>
          <w:sz w:val="24"/>
          <w:szCs w:val="24"/>
        </w:rPr>
        <w:t>2022）对乙酸乙酯、己酸乙酯等的测定方法，确保方法统一、可靠；</w:t>
      </w:r>
    </w:p>
    <w:p w14:paraId="48C2EFD8">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满足《白酒年份酒》团体标准对年份鉴定的技术需求，提供客观化检测方法。</w:t>
      </w:r>
    </w:p>
    <w:p w14:paraId="79780802">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七、重大分歧意见的处理经过和依据</w:t>
      </w:r>
    </w:p>
    <w:p w14:paraId="0CD82D11">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无重大分歧意见。</w:t>
      </w:r>
    </w:p>
    <w:p w14:paraId="5C458DDC">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八、贯彻团体标准的要求和措施建议（包括组织措施、技术措施、过渡办法等内容）</w:t>
      </w:r>
      <w:bookmarkStart w:id="4" w:name="_Hlk86399637"/>
    </w:p>
    <w:p w14:paraId="736022F6">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建议本标准审核、批准发布后实施，由归口单位组织行业相关单位积极开展宣贯工作，重点包括：</w:t>
      </w:r>
    </w:p>
    <w:p w14:paraId="4A2A22BD">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a）组织标准酒样的筛选、认定和分发工作，建立标准酒样数据库，为企业测定应用平衡常数Kapp提供基准参考；</w:t>
      </w:r>
    </w:p>
    <w:p w14:paraId="4D8391BD">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b）开展实验室比对验证，帮助各企业实验室正确掌握标准酒样的测定方法和Kapp的确定流程；</w:t>
      </w:r>
    </w:p>
    <w:p w14:paraId="4B7ADAC6">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c）在行业内进行推广，推动白酒企业在产品出厂检验、贮存过程监控、年份酒品质验证等环节应用本标准。</w:t>
      </w:r>
    </w:p>
    <w:bookmarkEnd w:id="4"/>
    <w:p w14:paraId="4327B2F9">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九、废止现行相关标准的建议</w:t>
      </w:r>
    </w:p>
    <w:p w14:paraId="6509DA83">
      <w:pPr>
        <w:spacing w:line="48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无。</w:t>
      </w:r>
    </w:p>
    <w:p w14:paraId="4610CE8C">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十、其他需要说明的问题</w:t>
      </w:r>
    </w:p>
    <w:p w14:paraId="0DD0AD79">
      <w:pPr>
        <w:spacing w:line="48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634B1D"/>
    <w:multiLevelType w:val="multilevel"/>
    <w:tmpl w:val="09634B1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21"/>
      <w:suff w:val="nothing"/>
      <w:lvlText w:val="%1%2　"/>
      <w:lvlJc w:val="left"/>
      <w:pPr>
        <w:ind w:left="283" w:firstLine="0"/>
      </w:pPr>
      <w:rPr>
        <w:rFonts w:hint="eastAsia" w:ascii="黑体" w:hAnsi="Times New Roman" w:eastAsia="黑体"/>
        <w:b w:val="0"/>
        <w:i w:val="0"/>
        <w:sz w:val="21"/>
      </w:rPr>
    </w:lvl>
    <w:lvl w:ilvl="2" w:tentative="0">
      <w:start w:val="1"/>
      <w:numFmt w:val="decimal"/>
      <w:pStyle w:val="18"/>
      <w:suff w:val="nothing"/>
      <w:lvlText w:val="%1%2.%3　"/>
      <w:lvlJc w:val="left"/>
      <w:pPr>
        <w:ind w:left="426"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15"/>
    <w:rsid w:val="00001752"/>
    <w:rsid w:val="000058D3"/>
    <w:rsid w:val="000131A2"/>
    <w:rsid w:val="00013D7B"/>
    <w:rsid w:val="00014B60"/>
    <w:rsid w:val="000160BB"/>
    <w:rsid w:val="00016743"/>
    <w:rsid w:val="00022643"/>
    <w:rsid w:val="00023958"/>
    <w:rsid w:val="00025E35"/>
    <w:rsid w:val="000263F1"/>
    <w:rsid w:val="00027798"/>
    <w:rsid w:val="00035529"/>
    <w:rsid w:val="00040888"/>
    <w:rsid w:val="00041231"/>
    <w:rsid w:val="0004354E"/>
    <w:rsid w:val="00044AF6"/>
    <w:rsid w:val="00045F64"/>
    <w:rsid w:val="00050FE8"/>
    <w:rsid w:val="00052826"/>
    <w:rsid w:val="000534DF"/>
    <w:rsid w:val="00055A15"/>
    <w:rsid w:val="00056D7B"/>
    <w:rsid w:val="00057F79"/>
    <w:rsid w:val="00063016"/>
    <w:rsid w:val="00064229"/>
    <w:rsid w:val="00067766"/>
    <w:rsid w:val="000678CF"/>
    <w:rsid w:val="0007075E"/>
    <w:rsid w:val="00074754"/>
    <w:rsid w:val="00075660"/>
    <w:rsid w:val="00080260"/>
    <w:rsid w:val="000820AB"/>
    <w:rsid w:val="000858EF"/>
    <w:rsid w:val="000863AB"/>
    <w:rsid w:val="0008655B"/>
    <w:rsid w:val="000940E0"/>
    <w:rsid w:val="00096163"/>
    <w:rsid w:val="00096DC5"/>
    <w:rsid w:val="00097E78"/>
    <w:rsid w:val="000A0419"/>
    <w:rsid w:val="000A067C"/>
    <w:rsid w:val="000A1367"/>
    <w:rsid w:val="000A276E"/>
    <w:rsid w:val="000A6CB2"/>
    <w:rsid w:val="000B3329"/>
    <w:rsid w:val="000B36AC"/>
    <w:rsid w:val="000B3900"/>
    <w:rsid w:val="000B3CDF"/>
    <w:rsid w:val="000B7020"/>
    <w:rsid w:val="000B78E4"/>
    <w:rsid w:val="000C026B"/>
    <w:rsid w:val="000C0431"/>
    <w:rsid w:val="000C0B6B"/>
    <w:rsid w:val="000C0BE4"/>
    <w:rsid w:val="000C24BB"/>
    <w:rsid w:val="000C305F"/>
    <w:rsid w:val="000C53B4"/>
    <w:rsid w:val="000C5FE2"/>
    <w:rsid w:val="000C6C4B"/>
    <w:rsid w:val="000D07A6"/>
    <w:rsid w:val="000D3176"/>
    <w:rsid w:val="000D365F"/>
    <w:rsid w:val="000D3E4D"/>
    <w:rsid w:val="000D3E57"/>
    <w:rsid w:val="000D42CE"/>
    <w:rsid w:val="000D5F5F"/>
    <w:rsid w:val="000D70B8"/>
    <w:rsid w:val="000E050D"/>
    <w:rsid w:val="000F022C"/>
    <w:rsid w:val="000F0CFA"/>
    <w:rsid w:val="000F0D61"/>
    <w:rsid w:val="000F3443"/>
    <w:rsid w:val="000F73A2"/>
    <w:rsid w:val="00104D98"/>
    <w:rsid w:val="00105477"/>
    <w:rsid w:val="00107746"/>
    <w:rsid w:val="001155FB"/>
    <w:rsid w:val="0011678E"/>
    <w:rsid w:val="001201F1"/>
    <w:rsid w:val="00120B13"/>
    <w:rsid w:val="0012336C"/>
    <w:rsid w:val="001234EC"/>
    <w:rsid w:val="001301BD"/>
    <w:rsid w:val="00132C3F"/>
    <w:rsid w:val="0013369F"/>
    <w:rsid w:val="00134A73"/>
    <w:rsid w:val="00135F7B"/>
    <w:rsid w:val="00140AC1"/>
    <w:rsid w:val="00144384"/>
    <w:rsid w:val="00146544"/>
    <w:rsid w:val="00152ADE"/>
    <w:rsid w:val="00152DB8"/>
    <w:rsid w:val="00152F14"/>
    <w:rsid w:val="001623E9"/>
    <w:rsid w:val="00163A93"/>
    <w:rsid w:val="00164FD1"/>
    <w:rsid w:val="00171A1C"/>
    <w:rsid w:val="0017254A"/>
    <w:rsid w:val="00172812"/>
    <w:rsid w:val="00175CE2"/>
    <w:rsid w:val="001858D2"/>
    <w:rsid w:val="001875A1"/>
    <w:rsid w:val="001902CD"/>
    <w:rsid w:val="0019084A"/>
    <w:rsid w:val="001928ED"/>
    <w:rsid w:val="00193BE4"/>
    <w:rsid w:val="00196884"/>
    <w:rsid w:val="001A0412"/>
    <w:rsid w:val="001A19A3"/>
    <w:rsid w:val="001A273E"/>
    <w:rsid w:val="001A2E7A"/>
    <w:rsid w:val="001A4950"/>
    <w:rsid w:val="001A5D92"/>
    <w:rsid w:val="001A6619"/>
    <w:rsid w:val="001A7FC9"/>
    <w:rsid w:val="001B0685"/>
    <w:rsid w:val="001B6B43"/>
    <w:rsid w:val="001C0ABE"/>
    <w:rsid w:val="001C3A54"/>
    <w:rsid w:val="001D4033"/>
    <w:rsid w:val="001E0205"/>
    <w:rsid w:val="001E076F"/>
    <w:rsid w:val="001E0A21"/>
    <w:rsid w:val="001E0D15"/>
    <w:rsid w:val="001E33E8"/>
    <w:rsid w:val="001E4DA1"/>
    <w:rsid w:val="001E5D78"/>
    <w:rsid w:val="001F177C"/>
    <w:rsid w:val="001F239B"/>
    <w:rsid w:val="001F37BC"/>
    <w:rsid w:val="00200DA5"/>
    <w:rsid w:val="00200E2D"/>
    <w:rsid w:val="002025FA"/>
    <w:rsid w:val="00206709"/>
    <w:rsid w:val="00206780"/>
    <w:rsid w:val="002103A3"/>
    <w:rsid w:val="00214A84"/>
    <w:rsid w:val="0021574C"/>
    <w:rsid w:val="00215FAD"/>
    <w:rsid w:val="002209D9"/>
    <w:rsid w:val="00220F11"/>
    <w:rsid w:val="00221300"/>
    <w:rsid w:val="00222600"/>
    <w:rsid w:val="00225150"/>
    <w:rsid w:val="00230C3E"/>
    <w:rsid w:val="00235593"/>
    <w:rsid w:val="002366A2"/>
    <w:rsid w:val="00243F4F"/>
    <w:rsid w:val="00247562"/>
    <w:rsid w:val="00254D50"/>
    <w:rsid w:val="00254F6C"/>
    <w:rsid w:val="00256CCD"/>
    <w:rsid w:val="00256D6A"/>
    <w:rsid w:val="00257006"/>
    <w:rsid w:val="0025701D"/>
    <w:rsid w:val="0025758A"/>
    <w:rsid w:val="0025793D"/>
    <w:rsid w:val="002627CB"/>
    <w:rsid w:val="002640AB"/>
    <w:rsid w:val="00265D0A"/>
    <w:rsid w:val="002660C5"/>
    <w:rsid w:val="002665B4"/>
    <w:rsid w:val="00267793"/>
    <w:rsid w:val="002709E9"/>
    <w:rsid w:val="00272E61"/>
    <w:rsid w:val="0027725B"/>
    <w:rsid w:val="00283D5D"/>
    <w:rsid w:val="00285B0D"/>
    <w:rsid w:val="00285B12"/>
    <w:rsid w:val="002872AB"/>
    <w:rsid w:val="002938AF"/>
    <w:rsid w:val="0029518F"/>
    <w:rsid w:val="002A61D3"/>
    <w:rsid w:val="002A6888"/>
    <w:rsid w:val="002A6E71"/>
    <w:rsid w:val="002B0879"/>
    <w:rsid w:val="002B7A07"/>
    <w:rsid w:val="002C2BD1"/>
    <w:rsid w:val="002C6713"/>
    <w:rsid w:val="002D02DF"/>
    <w:rsid w:val="002D3FA7"/>
    <w:rsid w:val="002D552F"/>
    <w:rsid w:val="002D5C37"/>
    <w:rsid w:val="002E4EBF"/>
    <w:rsid w:val="002E75A9"/>
    <w:rsid w:val="002F4854"/>
    <w:rsid w:val="002F79E5"/>
    <w:rsid w:val="00306E2A"/>
    <w:rsid w:val="00310BDE"/>
    <w:rsid w:val="0031605F"/>
    <w:rsid w:val="00316655"/>
    <w:rsid w:val="0032094A"/>
    <w:rsid w:val="003223A1"/>
    <w:rsid w:val="00327E7C"/>
    <w:rsid w:val="00331CF7"/>
    <w:rsid w:val="003329E7"/>
    <w:rsid w:val="0033690B"/>
    <w:rsid w:val="003407A8"/>
    <w:rsid w:val="003415DB"/>
    <w:rsid w:val="00343E4E"/>
    <w:rsid w:val="003469D2"/>
    <w:rsid w:val="003478E9"/>
    <w:rsid w:val="00347CBB"/>
    <w:rsid w:val="003502FB"/>
    <w:rsid w:val="00350D0F"/>
    <w:rsid w:val="0035109F"/>
    <w:rsid w:val="00352056"/>
    <w:rsid w:val="00354681"/>
    <w:rsid w:val="00354A51"/>
    <w:rsid w:val="00355EE6"/>
    <w:rsid w:val="003638BC"/>
    <w:rsid w:val="00366BB2"/>
    <w:rsid w:val="00367885"/>
    <w:rsid w:val="00370157"/>
    <w:rsid w:val="003703AC"/>
    <w:rsid w:val="0037093B"/>
    <w:rsid w:val="003722AC"/>
    <w:rsid w:val="003728BB"/>
    <w:rsid w:val="0037292B"/>
    <w:rsid w:val="00375258"/>
    <w:rsid w:val="0038035E"/>
    <w:rsid w:val="00380426"/>
    <w:rsid w:val="0038125D"/>
    <w:rsid w:val="00381C4F"/>
    <w:rsid w:val="00382829"/>
    <w:rsid w:val="003833C4"/>
    <w:rsid w:val="003841DA"/>
    <w:rsid w:val="00391ABD"/>
    <w:rsid w:val="003942A8"/>
    <w:rsid w:val="003A349F"/>
    <w:rsid w:val="003A7E42"/>
    <w:rsid w:val="003B5DAC"/>
    <w:rsid w:val="003B62EB"/>
    <w:rsid w:val="003B70F3"/>
    <w:rsid w:val="003C2C6F"/>
    <w:rsid w:val="003C386F"/>
    <w:rsid w:val="003C4321"/>
    <w:rsid w:val="003C649B"/>
    <w:rsid w:val="003C6DF3"/>
    <w:rsid w:val="003C72C0"/>
    <w:rsid w:val="003D3CCF"/>
    <w:rsid w:val="003D6054"/>
    <w:rsid w:val="003D6840"/>
    <w:rsid w:val="003D7BB8"/>
    <w:rsid w:val="003E03C8"/>
    <w:rsid w:val="003E14B2"/>
    <w:rsid w:val="003E1B3B"/>
    <w:rsid w:val="003E2350"/>
    <w:rsid w:val="003E293C"/>
    <w:rsid w:val="003E45F6"/>
    <w:rsid w:val="003E66F8"/>
    <w:rsid w:val="003E6920"/>
    <w:rsid w:val="003E7A6F"/>
    <w:rsid w:val="003F0B3A"/>
    <w:rsid w:val="003F2384"/>
    <w:rsid w:val="003F6034"/>
    <w:rsid w:val="003F7B68"/>
    <w:rsid w:val="004003CB"/>
    <w:rsid w:val="00401B63"/>
    <w:rsid w:val="004024E7"/>
    <w:rsid w:val="0040639F"/>
    <w:rsid w:val="00407720"/>
    <w:rsid w:val="004132F4"/>
    <w:rsid w:val="00416E3D"/>
    <w:rsid w:val="004239C2"/>
    <w:rsid w:val="00423E11"/>
    <w:rsid w:val="004246A6"/>
    <w:rsid w:val="00427155"/>
    <w:rsid w:val="00427E9D"/>
    <w:rsid w:val="004339DF"/>
    <w:rsid w:val="0043438E"/>
    <w:rsid w:val="004376C2"/>
    <w:rsid w:val="0044103F"/>
    <w:rsid w:val="00442E84"/>
    <w:rsid w:val="00445C1B"/>
    <w:rsid w:val="004462A0"/>
    <w:rsid w:val="0044661D"/>
    <w:rsid w:val="00446E78"/>
    <w:rsid w:val="00447874"/>
    <w:rsid w:val="004505C4"/>
    <w:rsid w:val="004515CC"/>
    <w:rsid w:val="00453B63"/>
    <w:rsid w:val="00460A84"/>
    <w:rsid w:val="0046185B"/>
    <w:rsid w:val="0046520C"/>
    <w:rsid w:val="00467C93"/>
    <w:rsid w:val="0047009C"/>
    <w:rsid w:val="00470A5A"/>
    <w:rsid w:val="004743DC"/>
    <w:rsid w:val="004774F9"/>
    <w:rsid w:val="0048270E"/>
    <w:rsid w:val="00485BF7"/>
    <w:rsid w:val="00487AA8"/>
    <w:rsid w:val="00490A74"/>
    <w:rsid w:val="004911C1"/>
    <w:rsid w:val="00492A14"/>
    <w:rsid w:val="0049464C"/>
    <w:rsid w:val="00495326"/>
    <w:rsid w:val="004A0F76"/>
    <w:rsid w:val="004A3BD3"/>
    <w:rsid w:val="004A481E"/>
    <w:rsid w:val="004B14F8"/>
    <w:rsid w:val="004B2BB1"/>
    <w:rsid w:val="004B629A"/>
    <w:rsid w:val="004C14A6"/>
    <w:rsid w:val="004D60BA"/>
    <w:rsid w:val="004E0E97"/>
    <w:rsid w:val="004E43BF"/>
    <w:rsid w:val="004E5F10"/>
    <w:rsid w:val="004E7227"/>
    <w:rsid w:val="004E7BEC"/>
    <w:rsid w:val="004F0AE6"/>
    <w:rsid w:val="004F1C28"/>
    <w:rsid w:val="004F52DC"/>
    <w:rsid w:val="004F75BC"/>
    <w:rsid w:val="004F7CAB"/>
    <w:rsid w:val="00500206"/>
    <w:rsid w:val="00503D04"/>
    <w:rsid w:val="00512B43"/>
    <w:rsid w:val="00513B56"/>
    <w:rsid w:val="00515EA6"/>
    <w:rsid w:val="00517D5F"/>
    <w:rsid w:val="005212A8"/>
    <w:rsid w:val="0052247F"/>
    <w:rsid w:val="005241B6"/>
    <w:rsid w:val="005246BD"/>
    <w:rsid w:val="00525497"/>
    <w:rsid w:val="00527B20"/>
    <w:rsid w:val="00530425"/>
    <w:rsid w:val="005313C9"/>
    <w:rsid w:val="005337F9"/>
    <w:rsid w:val="00533A2E"/>
    <w:rsid w:val="00534107"/>
    <w:rsid w:val="00534147"/>
    <w:rsid w:val="00534A04"/>
    <w:rsid w:val="0054517A"/>
    <w:rsid w:val="0055161F"/>
    <w:rsid w:val="00551B7A"/>
    <w:rsid w:val="00552C87"/>
    <w:rsid w:val="00556449"/>
    <w:rsid w:val="00556511"/>
    <w:rsid w:val="005604C0"/>
    <w:rsid w:val="005622EB"/>
    <w:rsid w:val="00564617"/>
    <w:rsid w:val="0056796B"/>
    <w:rsid w:val="00574048"/>
    <w:rsid w:val="00574CDD"/>
    <w:rsid w:val="00586089"/>
    <w:rsid w:val="00587EBF"/>
    <w:rsid w:val="00593080"/>
    <w:rsid w:val="0059457D"/>
    <w:rsid w:val="005951AE"/>
    <w:rsid w:val="00597842"/>
    <w:rsid w:val="005A1F92"/>
    <w:rsid w:val="005A5F39"/>
    <w:rsid w:val="005A73D0"/>
    <w:rsid w:val="005B02FF"/>
    <w:rsid w:val="005B077B"/>
    <w:rsid w:val="005B1341"/>
    <w:rsid w:val="005B1844"/>
    <w:rsid w:val="005B19CE"/>
    <w:rsid w:val="005B552C"/>
    <w:rsid w:val="005C2F3A"/>
    <w:rsid w:val="005D0196"/>
    <w:rsid w:val="005D03A3"/>
    <w:rsid w:val="005D2520"/>
    <w:rsid w:val="005D2896"/>
    <w:rsid w:val="005D3024"/>
    <w:rsid w:val="005D729F"/>
    <w:rsid w:val="005D7E69"/>
    <w:rsid w:val="005E0785"/>
    <w:rsid w:val="005E37EE"/>
    <w:rsid w:val="005F687E"/>
    <w:rsid w:val="006003FF"/>
    <w:rsid w:val="00601208"/>
    <w:rsid w:val="00601366"/>
    <w:rsid w:val="00606291"/>
    <w:rsid w:val="006078D2"/>
    <w:rsid w:val="00607DC5"/>
    <w:rsid w:val="00610972"/>
    <w:rsid w:val="00610B5D"/>
    <w:rsid w:val="00611E3A"/>
    <w:rsid w:val="00613EBF"/>
    <w:rsid w:val="006166DB"/>
    <w:rsid w:val="006168D5"/>
    <w:rsid w:val="00620779"/>
    <w:rsid w:val="00621339"/>
    <w:rsid w:val="00621A2B"/>
    <w:rsid w:val="00622579"/>
    <w:rsid w:val="00622826"/>
    <w:rsid w:val="006271B8"/>
    <w:rsid w:val="00630459"/>
    <w:rsid w:val="0063117E"/>
    <w:rsid w:val="00633518"/>
    <w:rsid w:val="00634730"/>
    <w:rsid w:val="00641918"/>
    <w:rsid w:val="00644AAB"/>
    <w:rsid w:val="0064616C"/>
    <w:rsid w:val="00651390"/>
    <w:rsid w:val="00651A3B"/>
    <w:rsid w:val="00651B97"/>
    <w:rsid w:val="0065349B"/>
    <w:rsid w:val="006547AF"/>
    <w:rsid w:val="00654C14"/>
    <w:rsid w:val="00655E8B"/>
    <w:rsid w:val="00657256"/>
    <w:rsid w:val="0065760C"/>
    <w:rsid w:val="00657C52"/>
    <w:rsid w:val="00663602"/>
    <w:rsid w:val="0066661F"/>
    <w:rsid w:val="00667684"/>
    <w:rsid w:val="006701A1"/>
    <w:rsid w:val="00670C85"/>
    <w:rsid w:val="006739AD"/>
    <w:rsid w:val="00680B8A"/>
    <w:rsid w:val="00680DD2"/>
    <w:rsid w:val="00680FA9"/>
    <w:rsid w:val="00681C52"/>
    <w:rsid w:val="00686081"/>
    <w:rsid w:val="00687AE7"/>
    <w:rsid w:val="00690D9E"/>
    <w:rsid w:val="006949D8"/>
    <w:rsid w:val="00695E2A"/>
    <w:rsid w:val="006A7569"/>
    <w:rsid w:val="006B118D"/>
    <w:rsid w:val="006B263A"/>
    <w:rsid w:val="006B29C9"/>
    <w:rsid w:val="006B30B2"/>
    <w:rsid w:val="006B4169"/>
    <w:rsid w:val="006B4F14"/>
    <w:rsid w:val="006B65F1"/>
    <w:rsid w:val="006C01D0"/>
    <w:rsid w:val="006C259E"/>
    <w:rsid w:val="006C43BA"/>
    <w:rsid w:val="006C4A3A"/>
    <w:rsid w:val="006C525D"/>
    <w:rsid w:val="006D0CA9"/>
    <w:rsid w:val="006D4857"/>
    <w:rsid w:val="006D5593"/>
    <w:rsid w:val="006D731B"/>
    <w:rsid w:val="006E014A"/>
    <w:rsid w:val="006E23DA"/>
    <w:rsid w:val="006E3A5C"/>
    <w:rsid w:val="006E42BA"/>
    <w:rsid w:val="006E6F6C"/>
    <w:rsid w:val="006F4ED7"/>
    <w:rsid w:val="006F6193"/>
    <w:rsid w:val="006F65B9"/>
    <w:rsid w:val="00701186"/>
    <w:rsid w:val="00705AF4"/>
    <w:rsid w:val="007077E2"/>
    <w:rsid w:val="007107BD"/>
    <w:rsid w:val="00711267"/>
    <w:rsid w:val="00716FB8"/>
    <w:rsid w:val="00717F3D"/>
    <w:rsid w:val="00720A46"/>
    <w:rsid w:val="00722CB9"/>
    <w:rsid w:val="00725947"/>
    <w:rsid w:val="00731816"/>
    <w:rsid w:val="00731834"/>
    <w:rsid w:val="007318B2"/>
    <w:rsid w:val="00731B97"/>
    <w:rsid w:val="0073392C"/>
    <w:rsid w:val="00734168"/>
    <w:rsid w:val="00734489"/>
    <w:rsid w:val="00736BF5"/>
    <w:rsid w:val="0073794E"/>
    <w:rsid w:val="00740D44"/>
    <w:rsid w:val="007414B5"/>
    <w:rsid w:val="00747AAF"/>
    <w:rsid w:val="00750A3F"/>
    <w:rsid w:val="007546D1"/>
    <w:rsid w:val="00754B5C"/>
    <w:rsid w:val="00760CBC"/>
    <w:rsid w:val="0076136B"/>
    <w:rsid w:val="00763AE0"/>
    <w:rsid w:val="00764231"/>
    <w:rsid w:val="007672FE"/>
    <w:rsid w:val="00771344"/>
    <w:rsid w:val="00772415"/>
    <w:rsid w:val="007740B5"/>
    <w:rsid w:val="00776AB1"/>
    <w:rsid w:val="0077750B"/>
    <w:rsid w:val="0078080E"/>
    <w:rsid w:val="00782744"/>
    <w:rsid w:val="00784316"/>
    <w:rsid w:val="00784C89"/>
    <w:rsid w:val="007872D1"/>
    <w:rsid w:val="0078753D"/>
    <w:rsid w:val="0079038C"/>
    <w:rsid w:val="0079735F"/>
    <w:rsid w:val="007A05A4"/>
    <w:rsid w:val="007B0B08"/>
    <w:rsid w:val="007B1328"/>
    <w:rsid w:val="007B1F80"/>
    <w:rsid w:val="007B48E3"/>
    <w:rsid w:val="007B7643"/>
    <w:rsid w:val="007D48CF"/>
    <w:rsid w:val="007D6FDC"/>
    <w:rsid w:val="007E0EDC"/>
    <w:rsid w:val="007E1A2D"/>
    <w:rsid w:val="007E233E"/>
    <w:rsid w:val="007F0838"/>
    <w:rsid w:val="007F1485"/>
    <w:rsid w:val="00801B1A"/>
    <w:rsid w:val="0080213F"/>
    <w:rsid w:val="0080539C"/>
    <w:rsid w:val="0080677F"/>
    <w:rsid w:val="00806D00"/>
    <w:rsid w:val="008102A3"/>
    <w:rsid w:val="00810B3F"/>
    <w:rsid w:val="00811DFC"/>
    <w:rsid w:val="00812A02"/>
    <w:rsid w:val="00813615"/>
    <w:rsid w:val="0081442C"/>
    <w:rsid w:val="008158FF"/>
    <w:rsid w:val="0081778C"/>
    <w:rsid w:val="00820D8A"/>
    <w:rsid w:val="0082128A"/>
    <w:rsid w:val="0082174D"/>
    <w:rsid w:val="00825E1F"/>
    <w:rsid w:val="00826630"/>
    <w:rsid w:val="00826907"/>
    <w:rsid w:val="008274D7"/>
    <w:rsid w:val="008365C9"/>
    <w:rsid w:val="008424EA"/>
    <w:rsid w:val="008532C3"/>
    <w:rsid w:val="00856216"/>
    <w:rsid w:val="00856F95"/>
    <w:rsid w:val="00857374"/>
    <w:rsid w:val="008618D8"/>
    <w:rsid w:val="0086236F"/>
    <w:rsid w:val="00863616"/>
    <w:rsid w:val="00865595"/>
    <w:rsid w:val="0086662D"/>
    <w:rsid w:val="008667AB"/>
    <w:rsid w:val="008707EE"/>
    <w:rsid w:val="008754D2"/>
    <w:rsid w:val="00875819"/>
    <w:rsid w:val="00877862"/>
    <w:rsid w:val="00877D94"/>
    <w:rsid w:val="008800D4"/>
    <w:rsid w:val="0088294D"/>
    <w:rsid w:val="00884D98"/>
    <w:rsid w:val="00887594"/>
    <w:rsid w:val="00890B70"/>
    <w:rsid w:val="0089185C"/>
    <w:rsid w:val="00894944"/>
    <w:rsid w:val="008949E3"/>
    <w:rsid w:val="00896F0A"/>
    <w:rsid w:val="008B1BC0"/>
    <w:rsid w:val="008B2997"/>
    <w:rsid w:val="008B651C"/>
    <w:rsid w:val="008B6805"/>
    <w:rsid w:val="008C0351"/>
    <w:rsid w:val="008C71B1"/>
    <w:rsid w:val="008D1418"/>
    <w:rsid w:val="008D17C9"/>
    <w:rsid w:val="008D392F"/>
    <w:rsid w:val="008D5AD0"/>
    <w:rsid w:val="008D70C8"/>
    <w:rsid w:val="008E0BC4"/>
    <w:rsid w:val="008E1235"/>
    <w:rsid w:val="008E317A"/>
    <w:rsid w:val="008E6EA7"/>
    <w:rsid w:val="008E7AFC"/>
    <w:rsid w:val="008E7BE6"/>
    <w:rsid w:val="008E7C6C"/>
    <w:rsid w:val="009024A3"/>
    <w:rsid w:val="0090404C"/>
    <w:rsid w:val="00904419"/>
    <w:rsid w:val="0090537A"/>
    <w:rsid w:val="00905B68"/>
    <w:rsid w:val="00915E16"/>
    <w:rsid w:val="009164F6"/>
    <w:rsid w:val="00917C38"/>
    <w:rsid w:val="00920679"/>
    <w:rsid w:val="00920D3B"/>
    <w:rsid w:val="0092126C"/>
    <w:rsid w:val="009218C9"/>
    <w:rsid w:val="00921DA9"/>
    <w:rsid w:val="0092380D"/>
    <w:rsid w:val="00924DB3"/>
    <w:rsid w:val="00930362"/>
    <w:rsid w:val="00931D27"/>
    <w:rsid w:val="009333C8"/>
    <w:rsid w:val="00936486"/>
    <w:rsid w:val="00936DB7"/>
    <w:rsid w:val="00937EA2"/>
    <w:rsid w:val="00941366"/>
    <w:rsid w:val="0094546D"/>
    <w:rsid w:val="00945F70"/>
    <w:rsid w:val="00950B62"/>
    <w:rsid w:val="00952B14"/>
    <w:rsid w:val="00952CA3"/>
    <w:rsid w:val="00953851"/>
    <w:rsid w:val="00953FC1"/>
    <w:rsid w:val="00955C30"/>
    <w:rsid w:val="00957882"/>
    <w:rsid w:val="00960799"/>
    <w:rsid w:val="00960F71"/>
    <w:rsid w:val="00964430"/>
    <w:rsid w:val="00970194"/>
    <w:rsid w:val="00970D04"/>
    <w:rsid w:val="009719D4"/>
    <w:rsid w:val="009758AC"/>
    <w:rsid w:val="00980BA3"/>
    <w:rsid w:val="00981639"/>
    <w:rsid w:val="00981C71"/>
    <w:rsid w:val="009845D8"/>
    <w:rsid w:val="009865F5"/>
    <w:rsid w:val="00986AE3"/>
    <w:rsid w:val="00990A7C"/>
    <w:rsid w:val="00991AAB"/>
    <w:rsid w:val="0099456E"/>
    <w:rsid w:val="009A2216"/>
    <w:rsid w:val="009A6350"/>
    <w:rsid w:val="009A7E20"/>
    <w:rsid w:val="009B239F"/>
    <w:rsid w:val="009B25B8"/>
    <w:rsid w:val="009B2781"/>
    <w:rsid w:val="009B313E"/>
    <w:rsid w:val="009B3472"/>
    <w:rsid w:val="009B3F49"/>
    <w:rsid w:val="009B4BAE"/>
    <w:rsid w:val="009B7392"/>
    <w:rsid w:val="009C278C"/>
    <w:rsid w:val="009C446A"/>
    <w:rsid w:val="009C60B4"/>
    <w:rsid w:val="009D3E8A"/>
    <w:rsid w:val="009D52C4"/>
    <w:rsid w:val="009E0FEF"/>
    <w:rsid w:val="009E1EA9"/>
    <w:rsid w:val="009E33F1"/>
    <w:rsid w:val="009E7BED"/>
    <w:rsid w:val="009F139B"/>
    <w:rsid w:val="009F353C"/>
    <w:rsid w:val="009F5B1D"/>
    <w:rsid w:val="00A02B75"/>
    <w:rsid w:val="00A05260"/>
    <w:rsid w:val="00A05B3C"/>
    <w:rsid w:val="00A06446"/>
    <w:rsid w:val="00A13BEF"/>
    <w:rsid w:val="00A13FE0"/>
    <w:rsid w:val="00A1505E"/>
    <w:rsid w:val="00A1790A"/>
    <w:rsid w:val="00A23456"/>
    <w:rsid w:val="00A23CB9"/>
    <w:rsid w:val="00A23E1F"/>
    <w:rsid w:val="00A24AD9"/>
    <w:rsid w:val="00A306FD"/>
    <w:rsid w:val="00A31879"/>
    <w:rsid w:val="00A3381D"/>
    <w:rsid w:val="00A35CDD"/>
    <w:rsid w:val="00A35EF1"/>
    <w:rsid w:val="00A454E9"/>
    <w:rsid w:val="00A454F1"/>
    <w:rsid w:val="00A46B8A"/>
    <w:rsid w:val="00A473E2"/>
    <w:rsid w:val="00A5155B"/>
    <w:rsid w:val="00A53443"/>
    <w:rsid w:val="00A55D56"/>
    <w:rsid w:val="00A61736"/>
    <w:rsid w:val="00A65BBB"/>
    <w:rsid w:val="00A71334"/>
    <w:rsid w:val="00A72608"/>
    <w:rsid w:val="00A72AA7"/>
    <w:rsid w:val="00A72D37"/>
    <w:rsid w:val="00A73769"/>
    <w:rsid w:val="00A83779"/>
    <w:rsid w:val="00A84F6F"/>
    <w:rsid w:val="00A90FF7"/>
    <w:rsid w:val="00A91377"/>
    <w:rsid w:val="00A9392C"/>
    <w:rsid w:val="00A9459E"/>
    <w:rsid w:val="00A95378"/>
    <w:rsid w:val="00AA1A6D"/>
    <w:rsid w:val="00AA2A62"/>
    <w:rsid w:val="00AA304D"/>
    <w:rsid w:val="00AA3E7D"/>
    <w:rsid w:val="00AB04A0"/>
    <w:rsid w:val="00AB3EB7"/>
    <w:rsid w:val="00AB6BFB"/>
    <w:rsid w:val="00AB7C26"/>
    <w:rsid w:val="00AC145F"/>
    <w:rsid w:val="00AD08A7"/>
    <w:rsid w:val="00AD2D1A"/>
    <w:rsid w:val="00AE3C65"/>
    <w:rsid w:val="00AE5A83"/>
    <w:rsid w:val="00AE749F"/>
    <w:rsid w:val="00AE7E48"/>
    <w:rsid w:val="00AF0688"/>
    <w:rsid w:val="00AF1C4B"/>
    <w:rsid w:val="00AF4289"/>
    <w:rsid w:val="00AF7632"/>
    <w:rsid w:val="00B0112B"/>
    <w:rsid w:val="00B028D2"/>
    <w:rsid w:val="00B062EC"/>
    <w:rsid w:val="00B11A5B"/>
    <w:rsid w:val="00B125AA"/>
    <w:rsid w:val="00B16033"/>
    <w:rsid w:val="00B16694"/>
    <w:rsid w:val="00B175ED"/>
    <w:rsid w:val="00B22321"/>
    <w:rsid w:val="00B26CFD"/>
    <w:rsid w:val="00B3762A"/>
    <w:rsid w:val="00B3798C"/>
    <w:rsid w:val="00B40D39"/>
    <w:rsid w:val="00B545CF"/>
    <w:rsid w:val="00B54EF4"/>
    <w:rsid w:val="00B565FE"/>
    <w:rsid w:val="00B60C30"/>
    <w:rsid w:val="00B60F30"/>
    <w:rsid w:val="00B61F3D"/>
    <w:rsid w:val="00B6652B"/>
    <w:rsid w:val="00B66A6C"/>
    <w:rsid w:val="00B73D54"/>
    <w:rsid w:val="00B73D8A"/>
    <w:rsid w:val="00B74B22"/>
    <w:rsid w:val="00B761AB"/>
    <w:rsid w:val="00B76B7D"/>
    <w:rsid w:val="00B820BB"/>
    <w:rsid w:val="00B82A3E"/>
    <w:rsid w:val="00B83B75"/>
    <w:rsid w:val="00B843F5"/>
    <w:rsid w:val="00B85F3B"/>
    <w:rsid w:val="00B94E97"/>
    <w:rsid w:val="00B978A1"/>
    <w:rsid w:val="00BA00A7"/>
    <w:rsid w:val="00BB1E3B"/>
    <w:rsid w:val="00BB3D4C"/>
    <w:rsid w:val="00BB6A6F"/>
    <w:rsid w:val="00BB7565"/>
    <w:rsid w:val="00BC2037"/>
    <w:rsid w:val="00BC621D"/>
    <w:rsid w:val="00BC6745"/>
    <w:rsid w:val="00BC7976"/>
    <w:rsid w:val="00BC7A4C"/>
    <w:rsid w:val="00BC7AEE"/>
    <w:rsid w:val="00BD7A70"/>
    <w:rsid w:val="00BE0EEE"/>
    <w:rsid w:val="00BF2D44"/>
    <w:rsid w:val="00BF371E"/>
    <w:rsid w:val="00BF5E6C"/>
    <w:rsid w:val="00C0045C"/>
    <w:rsid w:val="00C017EA"/>
    <w:rsid w:val="00C023CA"/>
    <w:rsid w:val="00C03895"/>
    <w:rsid w:val="00C04CD3"/>
    <w:rsid w:val="00C05CC7"/>
    <w:rsid w:val="00C079E6"/>
    <w:rsid w:val="00C106A6"/>
    <w:rsid w:val="00C11371"/>
    <w:rsid w:val="00C157D7"/>
    <w:rsid w:val="00C16DB8"/>
    <w:rsid w:val="00C219BA"/>
    <w:rsid w:val="00C30A0C"/>
    <w:rsid w:val="00C335E8"/>
    <w:rsid w:val="00C3409B"/>
    <w:rsid w:val="00C40CC4"/>
    <w:rsid w:val="00C42A96"/>
    <w:rsid w:val="00C44145"/>
    <w:rsid w:val="00C451C8"/>
    <w:rsid w:val="00C456A5"/>
    <w:rsid w:val="00C45CDE"/>
    <w:rsid w:val="00C53147"/>
    <w:rsid w:val="00C55650"/>
    <w:rsid w:val="00C605BA"/>
    <w:rsid w:val="00C64271"/>
    <w:rsid w:val="00C67676"/>
    <w:rsid w:val="00C71719"/>
    <w:rsid w:val="00C72F86"/>
    <w:rsid w:val="00C774E9"/>
    <w:rsid w:val="00C77E79"/>
    <w:rsid w:val="00C8055D"/>
    <w:rsid w:val="00C823E7"/>
    <w:rsid w:val="00C850D9"/>
    <w:rsid w:val="00C8565E"/>
    <w:rsid w:val="00C86028"/>
    <w:rsid w:val="00C9107B"/>
    <w:rsid w:val="00C95393"/>
    <w:rsid w:val="00C95641"/>
    <w:rsid w:val="00CB3FE8"/>
    <w:rsid w:val="00CB4EEE"/>
    <w:rsid w:val="00CB67E4"/>
    <w:rsid w:val="00CC3BB1"/>
    <w:rsid w:val="00CC7847"/>
    <w:rsid w:val="00CC795A"/>
    <w:rsid w:val="00CD25B9"/>
    <w:rsid w:val="00CD3B78"/>
    <w:rsid w:val="00CD3C38"/>
    <w:rsid w:val="00CD784F"/>
    <w:rsid w:val="00CD7B17"/>
    <w:rsid w:val="00CE065F"/>
    <w:rsid w:val="00CE297C"/>
    <w:rsid w:val="00CE32B2"/>
    <w:rsid w:val="00CE5098"/>
    <w:rsid w:val="00CE652B"/>
    <w:rsid w:val="00CF3475"/>
    <w:rsid w:val="00D0283F"/>
    <w:rsid w:val="00D035D1"/>
    <w:rsid w:val="00D043A1"/>
    <w:rsid w:val="00D054B9"/>
    <w:rsid w:val="00D13F2C"/>
    <w:rsid w:val="00D159E1"/>
    <w:rsid w:val="00D20FED"/>
    <w:rsid w:val="00D21144"/>
    <w:rsid w:val="00D2200B"/>
    <w:rsid w:val="00D23026"/>
    <w:rsid w:val="00D23C16"/>
    <w:rsid w:val="00D31F11"/>
    <w:rsid w:val="00D371EA"/>
    <w:rsid w:val="00D46B3A"/>
    <w:rsid w:val="00D55F85"/>
    <w:rsid w:val="00D5601A"/>
    <w:rsid w:val="00D607EE"/>
    <w:rsid w:val="00D6197F"/>
    <w:rsid w:val="00D63ADF"/>
    <w:rsid w:val="00D67D7D"/>
    <w:rsid w:val="00D723A6"/>
    <w:rsid w:val="00D74E35"/>
    <w:rsid w:val="00D82114"/>
    <w:rsid w:val="00D826D6"/>
    <w:rsid w:val="00D8737A"/>
    <w:rsid w:val="00D9096A"/>
    <w:rsid w:val="00D90A37"/>
    <w:rsid w:val="00D929A4"/>
    <w:rsid w:val="00D93128"/>
    <w:rsid w:val="00D953D8"/>
    <w:rsid w:val="00DA0B7A"/>
    <w:rsid w:val="00DA4135"/>
    <w:rsid w:val="00DA5526"/>
    <w:rsid w:val="00DB0DBA"/>
    <w:rsid w:val="00DB1BB3"/>
    <w:rsid w:val="00DB7F9B"/>
    <w:rsid w:val="00DC10BF"/>
    <w:rsid w:val="00DC31B8"/>
    <w:rsid w:val="00DD100C"/>
    <w:rsid w:val="00DD3BCB"/>
    <w:rsid w:val="00DD3F1D"/>
    <w:rsid w:val="00DD768E"/>
    <w:rsid w:val="00DE56FA"/>
    <w:rsid w:val="00DE7F85"/>
    <w:rsid w:val="00DF059D"/>
    <w:rsid w:val="00DF0E90"/>
    <w:rsid w:val="00DF28CE"/>
    <w:rsid w:val="00DF3436"/>
    <w:rsid w:val="00DF44F0"/>
    <w:rsid w:val="00DF53C0"/>
    <w:rsid w:val="00DF5ED4"/>
    <w:rsid w:val="00DF6578"/>
    <w:rsid w:val="00DF69F1"/>
    <w:rsid w:val="00E00C83"/>
    <w:rsid w:val="00E039FA"/>
    <w:rsid w:val="00E03CCA"/>
    <w:rsid w:val="00E0737F"/>
    <w:rsid w:val="00E12B4A"/>
    <w:rsid w:val="00E21CED"/>
    <w:rsid w:val="00E21F2F"/>
    <w:rsid w:val="00E2213C"/>
    <w:rsid w:val="00E2333A"/>
    <w:rsid w:val="00E23AB0"/>
    <w:rsid w:val="00E23C69"/>
    <w:rsid w:val="00E23D31"/>
    <w:rsid w:val="00E23F25"/>
    <w:rsid w:val="00E319C1"/>
    <w:rsid w:val="00E3315D"/>
    <w:rsid w:val="00E33E2D"/>
    <w:rsid w:val="00E476CA"/>
    <w:rsid w:val="00E52CC7"/>
    <w:rsid w:val="00E530F1"/>
    <w:rsid w:val="00E54422"/>
    <w:rsid w:val="00E565C6"/>
    <w:rsid w:val="00E56B6B"/>
    <w:rsid w:val="00E61CAC"/>
    <w:rsid w:val="00E65F9F"/>
    <w:rsid w:val="00E67201"/>
    <w:rsid w:val="00E70E31"/>
    <w:rsid w:val="00E72B62"/>
    <w:rsid w:val="00E81375"/>
    <w:rsid w:val="00E81F3A"/>
    <w:rsid w:val="00E825A5"/>
    <w:rsid w:val="00E92C4F"/>
    <w:rsid w:val="00E959F5"/>
    <w:rsid w:val="00EA4406"/>
    <w:rsid w:val="00EA6FD0"/>
    <w:rsid w:val="00EB13EA"/>
    <w:rsid w:val="00EB35C0"/>
    <w:rsid w:val="00EB4EF8"/>
    <w:rsid w:val="00EC097C"/>
    <w:rsid w:val="00EC1592"/>
    <w:rsid w:val="00EC3667"/>
    <w:rsid w:val="00EC41E8"/>
    <w:rsid w:val="00EC65BC"/>
    <w:rsid w:val="00EC6605"/>
    <w:rsid w:val="00EC6948"/>
    <w:rsid w:val="00EC6DBC"/>
    <w:rsid w:val="00ED1BED"/>
    <w:rsid w:val="00ED37DF"/>
    <w:rsid w:val="00ED3D0E"/>
    <w:rsid w:val="00ED42F1"/>
    <w:rsid w:val="00ED624F"/>
    <w:rsid w:val="00ED6E6B"/>
    <w:rsid w:val="00EE06FB"/>
    <w:rsid w:val="00EE2123"/>
    <w:rsid w:val="00EE3F3D"/>
    <w:rsid w:val="00EE6AE3"/>
    <w:rsid w:val="00EE6D40"/>
    <w:rsid w:val="00EF0434"/>
    <w:rsid w:val="00EF0538"/>
    <w:rsid w:val="00EF0DB8"/>
    <w:rsid w:val="00EF1B3E"/>
    <w:rsid w:val="00EF519B"/>
    <w:rsid w:val="00EF7376"/>
    <w:rsid w:val="00F00C34"/>
    <w:rsid w:val="00F00DC2"/>
    <w:rsid w:val="00F022F7"/>
    <w:rsid w:val="00F05873"/>
    <w:rsid w:val="00F14A5C"/>
    <w:rsid w:val="00F14CFC"/>
    <w:rsid w:val="00F15375"/>
    <w:rsid w:val="00F16A9A"/>
    <w:rsid w:val="00F16FA3"/>
    <w:rsid w:val="00F17B4C"/>
    <w:rsid w:val="00F21475"/>
    <w:rsid w:val="00F24C43"/>
    <w:rsid w:val="00F25616"/>
    <w:rsid w:val="00F25D53"/>
    <w:rsid w:val="00F270ED"/>
    <w:rsid w:val="00F34DEA"/>
    <w:rsid w:val="00F37627"/>
    <w:rsid w:val="00F41673"/>
    <w:rsid w:val="00F4588F"/>
    <w:rsid w:val="00F522A5"/>
    <w:rsid w:val="00F56599"/>
    <w:rsid w:val="00F5668B"/>
    <w:rsid w:val="00F5712A"/>
    <w:rsid w:val="00F6159E"/>
    <w:rsid w:val="00F64745"/>
    <w:rsid w:val="00F73509"/>
    <w:rsid w:val="00F74D63"/>
    <w:rsid w:val="00F81D82"/>
    <w:rsid w:val="00F87FA2"/>
    <w:rsid w:val="00F906CC"/>
    <w:rsid w:val="00F95C3A"/>
    <w:rsid w:val="00F95EDA"/>
    <w:rsid w:val="00F96218"/>
    <w:rsid w:val="00FA09C0"/>
    <w:rsid w:val="00FA3A3A"/>
    <w:rsid w:val="00FA3C21"/>
    <w:rsid w:val="00FA6C90"/>
    <w:rsid w:val="00FB0FC9"/>
    <w:rsid w:val="00FB16F4"/>
    <w:rsid w:val="00FC1F15"/>
    <w:rsid w:val="00FC1F7B"/>
    <w:rsid w:val="00FC46A1"/>
    <w:rsid w:val="00FC5363"/>
    <w:rsid w:val="00FC6875"/>
    <w:rsid w:val="00FD18CB"/>
    <w:rsid w:val="00FD3EF0"/>
    <w:rsid w:val="00FD3F3C"/>
    <w:rsid w:val="00FD48BC"/>
    <w:rsid w:val="00FD49B9"/>
    <w:rsid w:val="00FD5335"/>
    <w:rsid w:val="00FD78D7"/>
    <w:rsid w:val="00FE569E"/>
    <w:rsid w:val="00FE6D05"/>
    <w:rsid w:val="00FF1548"/>
    <w:rsid w:val="00FF38A1"/>
    <w:rsid w:val="00FF3A1E"/>
    <w:rsid w:val="00FF689C"/>
    <w:rsid w:val="00FF6971"/>
    <w:rsid w:val="00FF74DE"/>
    <w:rsid w:val="0198120A"/>
    <w:rsid w:val="02167D94"/>
    <w:rsid w:val="02A06DB3"/>
    <w:rsid w:val="036715AC"/>
    <w:rsid w:val="05604F20"/>
    <w:rsid w:val="057B1BCF"/>
    <w:rsid w:val="06AA4179"/>
    <w:rsid w:val="0799720F"/>
    <w:rsid w:val="0A07270C"/>
    <w:rsid w:val="0B304BDD"/>
    <w:rsid w:val="0DBC79C4"/>
    <w:rsid w:val="11CD2917"/>
    <w:rsid w:val="13CE069C"/>
    <w:rsid w:val="14084AB5"/>
    <w:rsid w:val="147C34B3"/>
    <w:rsid w:val="165C4DEB"/>
    <w:rsid w:val="17614504"/>
    <w:rsid w:val="17C95782"/>
    <w:rsid w:val="196158F4"/>
    <w:rsid w:val="1B676AF2"/>
    <w:rsid w:val="1C3B3C34"/>
    <w:rsid w:val="1CB91634"/>
    <w:rsid w:val="1EA52962"/>
    <w:rsid w:val="1FEA7DE9"/>
    <w:rsid w:val="20C01158"/>
    <w:rsid w:val="2134079F"/>
    <w:rsid w:val="215B0940"/>
    <w:rsid w:val="21AB1930"/>
    <w:rsid w:val="21B33201"/>
    <w:rsid w:val="21FE1F55"/>
    <w:rsid w:val="223A5719"/>
    <w:rsid w:val="24896E8F"/>
    <w:rsid w:val="26855AD4"/>
    <w:rsid w:val="27A046D6"/>
    <w:rsid w:val="28095C8D"/>
    <w:rsid w:val="28C30038"/>
    <w:rsid w:val="28D4787B"/>
    <w:rsid w:val="2972074F"/>
    <w:rsid w:val="2B1E7882"/>
    <w:rsid w:val="2D2C4306"/>
    <w:rsid w:val="2E037583"/>
    <w:rsid w:val="2FBA29FF"/>
    <w:rsid w:val="301D349A"/>
    <w:rsid w:val="31375FF7"/>
    <w:rsid w:val="32205019"/>
    <w:rsid w:val="37EC6B19"/>
    <w:rsid w:val="38B86D61"/>
    <w:rsid w:val="38CB7A00"/>
    <w:rsid w:val="3B8F783F"/>
    <w:rsid w:val="3CB67364"/>
    <w:rsid w:val="3DA926B9"/>
    <w:rsid w:val="3F0C6020"/>
    <w:rsid w:val="3FC528DB"/>
    <w:rsid w:val="42497671"/>
    <w:rsid w:val="442E425C"/>
    <w:rsid w:val="458261E7"/>
    <w:rsid w:val="46291401"/>
    <w:rsid w:val="463F31F4"/>
    <w:rsid w:val="48396644"/>
    <w:rsid w:val="485B50AC"/>
    <w:rsid w:val="49864FCA"/>
    <w:rsid w:val="49FB65FD"/>
    <w:rsid w:val="4BFE3D7C"/>
    <w:rsid w:val="4D904A55"/>
    <w:rsid w:val="4D944218"/>
    <w:rsid w:val="4DEE7E5C"/>
    <w:rsid w:val="4E0555E1"/>
    <w:rsid w:val="4F634454"/>
    <w:rsid w:val="4FE54AF6"/>
    <w:rsid w:val="51846B84"/>
    <w:rsid w:val="52361E79"/>
    <w:rsid w:val="52B03FE7"/>
    <w:rsid w:val="53157AA3"/>
    <w:rsid w:val="534022E4"/>
    <w:rsid w:val="536931D9"/>
    <w:rsid w:val="53A31324"/>
    <w:rsid w:val="57F24A86"/>
    <w:rsid w:val="5A9372B6"/>
    <w:rsid w:val="5CA40E39"/>
    <w:rsid w:val="5CF53B29"/>
    <w:rsid w:val="5D0D43A4"/>
    <w:rsid w:val="5D3C52A9"/>
    <w:rsid w:val="5E3D04A9"/>
    <w:rsid w:val="5F7E1CC5"/>
    <w:rsid w:val="637F758D"/>
    <w:rsid w:val="63E861FD"/>
    <w:rsid w:val="65203561"/>
    <w:rsid w:val="664A693D"/>
    <w:rsid w:val="664E5D07"/>
    <w:rsid w:val="680844ED"/>
    <w:rsid w:val="682757D2"/>
    <w:rsid w:val="6922672F"/>
    <w:rsid w:val="69CD65EA"/>
    <w:rsid w:val="6A170E24"/>
    <w:rsid w:val="6BAC453C"/>
    <w:rsid w:val="6BDD087C"/>
    <w:rsid w:val="6CFE0065"/>
    <w:rsid w:val="6E3E3F05"/>
    <w:rsid w:val="6F0E3DBF"/>
    <w:rsid w:val="71543EB7"/>
    <w:rsid w:val="726833E2"/>
    <w:rsid w:val="747E2AED"/>
    <w:rsid w:val="75363669"/>
    <w:rsid w:val="75CE5634"/>
    <w:rsid w:val="76C1203A"/>
    <w:rsid w:val="77E96C86"/>
    <w:rsid w:val="7B920991"/>
    <w:rsid w:val="7C973CD8"/>
    <w:rsid w:val="7E811E1D"/>
    <w:rsid w:val="7FF4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ody Text Indent 2"/>
    <w:basedOn w:val="1"/>
    <w:link w:val="25"/>
    <w:qFormat/>
    <w:uiPriority w:val="99"/>
    <w:pPr>
      <w:ind w:firstLine="480" w:firstLineChars="200"/>
    </w:pPr>
    <w:rPr>
      <w:rFonts w:ascii="宋体" w:hAnsi="宋体" w:eastAsia="宋体" w:cs="Times New Roman"/>
      <w:sz w:val="24"/>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character" w:customStyle="1" w:styleId="16">
    <w:name w:val="批注文字 字符"/>
    <w:basedOn w:val="10"/>
    <w:link w:val="2"/>
    <w:qFormat/>
    <w:uiPriority w:val="99"/>
  </w:style>
  <w:style w:type="character" w:customStyle="1" w:styleId="17">
    <w:name w:val="批注主题 字符"/>
    <w:basedOn w:val="16"/>
    <w:link w:val="7"/>
    <w:semiHidden/>
    <w:qFormat/>
    <w:uiPriority w:val="99"/>
    <w:rPr>
      <w:b/>
      <w:bCs/>
    </w:rPr>
  </w:style>
  <w:style w:type="paragraph" w:customStyle="1" w:styleId="18">
    <w:name w:val="一级条标题"/>
    <w:next w:val="19"/>
    <w:link w:val="20"/>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1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0">
    <w:name w:val="一级条标题 Char"/>
    <w:link w:val="18"/>
    <w:qFormat/>
    <w:uiPriority w:val="0"/>
    <w:rPr>
      <w:rFonts w:eastAsia="黑体"/>
      <w:sz w:val="21"/>
    </w:rPr>
  </w:style>
  <w:style w:type="paragraph" w:customStyle="1" w:styleId="21">
    <w:name w:val="章标题"/>
    <w:next w:val="19"/>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styleId="22">
    <w:name w:val="List Paragraph"/>
    <w:basedOn w:val="1"/>
    <w:qFormat/>
    <w:uiPriority w:val="34"/>
    <w:pPr>
      <w:ind w:firstLine="420" w:firstLineChars="200"/>
    </w:pPr>
    <w:rPr>
      <w:sz w:val="24"/>
      <w:szCs w:val="24"/>
    </w:rPr>
  </w:style>
  <w:style w:type="character" w:customStyle="1" w:styleId="23">
    <w:name w:val="未处理的提及1"/>
    <w:basedOn w:val="10"/>
    <w:semiHidden/>
    <w:unhideWhenUsed/>
    <w:qFormat/>
    <w:uiPriority w:val="99"/>
    <w:rPr>
      <w:color w:val="605E5C"/>
      <w:shd w:val="clear" w:color="auto" w:fill="E1DFDD"/>
    </w:rPr>
  </w:style>
  <w:style w:type="table" w:customStyle="1" w:styleId="24">
    <w:name w:val="网格型3"/>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正文文本缩进 2 字符"/>
    <w:basedOn w:val="10"/>
    <w:link w:val="3"/>
    <w:qFormat/>
    <w:uiPriority w:val="99"/>
    <w:rPr>
      <w:rFonts w:ascii="宋体" w:hAnsi="宋体"/>
      <w:kern w:val="2"/>
      <w:sz w:val="24"/>
      <w:szCs w:val="24"/>
    </w:rPr>
  </w:style>
  <w:style w:type="character" w:styleId="26">
    <w:name w:val="Placeholder Text"/>
    <w:basedOn w:val="10"/>
    <w:semiHidden/>
    <w:qFormat/>
    <w:uiPriority w:val="99"/>
    <w:rPr>
      <w:color w:val="666666"/>
    </w:rPr>
  </w:style>
  <w:style w:type="paragraph" w:customStyle="1" w:styleId="2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8">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0">
    <w:name w:val="修订4"/>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6320</Words>
  <Characters>7007</Characters>
  <Lines>51</Lines>
  <Paragraphs>14</Paragraphs>
  <TotalTime>58</TotalTime>
  <ScaleCrop>false</ScaleCrop>
  <LinksUpToDate>false</LinksUpToDate>
  <CharactersWithSpaces>7092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2025-04-10T08:56:00Z</dcterms:created>
  <dc:creator>元 月</dc:creator>
  <cp:lastModifiedBy>鳢·明磊</cp:lastModifiedBy>
  <dcterms:modified xsi:type="dcterms:W3CDTF">2026-08-25T08:49:04Z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8E284B081FF0453A8EABB3E00F705241_13</vt:lpwstr>
  </property>
  <property fmtid="{D5CDD505-2E9C-101B-9397-08002B2CF9AE}" pid="4" name="KSOTemplateDocerSaveRecord">
    <vt:lpwstr>eyJoZGlkIjoiNDUwMTFkMDI3ZjBmZjczM2Q3M2EwOGI5M2VjYzUzMDkiLCJ1c2VySWQiOiI2Mzc2MTkzNTkifQ==</vt:lpwstr>
  </property>
</Properties>
</file>