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A2247">
      <w:pPr>
        <w:pStyle w:val="118"/>
        <w:framePr w:wrap="around"/>
      </w:pPr>
    </w:p>
    <w:p w14:paraId="0E720292">
      <w:pPr>
        <w:pStyle w:val="119"/>
        <w:framePr w:wrap="around"/>
        <w:rPr>
          <w:rFonts w:ascii="Times New Roman" w:hAnsi="Times New Roman"/>
        </w:rPr>
      </w:pPr>
      <w:r>
        <w:rPr>
          <w:rFonts w:ascii="Times New Roman" w:hAnsi="Times New Roman"/>
        </w:rPr>
        <w:t>团体标准</w:t>
      </w:r>
    </w:p>
    <w:p w14:paraId="46D9496B">
      <w:pPr>
        <w:pStyle w:val="56"/>
        <w:framePr w:wrap="around"/>
        <w:rPr>
          <w:rFonts w:ascii="Times New Roman"/>
        </w:rPr>
      </w:pPr>
      <w:r>
        <w:rPr>
          <w:rFonts w:ascii="Times New Roman"/>
        </w:rPr>
        <w:t>T/CBJ XXXX—202X</w:t>
      </w: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30"/>
      </w:tblGrid>
      <w:tr w14:paraId="43328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18E2786C">
            <w:pPr>
              <w:pStyle w:val="85"/>
              <w:framePr w:wrap="around"/>
              <w:rPr>
                <w:rFonts w:ascii="Times New Roman"/>
              </w:rPr>
            </w:pPr>
            <w:bookmarkStart w:id="0" w:name="DT"/>
            <w:r>
              <w:rPr>
                <w:rFonts w:ascii="Times New Roman"/>
              </w:rP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3175" b="0"/>
                      <wp:wrapNone/>
                      <wp:docPr id="3" name="DT"/>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DT"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HmDyy9YAAAAIAQAADwAAAAAAAAABACAAAAAiAAAA&#10;ZHJzL2Rvd25yZXYueG1sUEsBAhQAFAAAAAgAh07iQHpx/qkJAgAAIAQAAA4AAAAAAAAAAQAgAAAA&#10;JQEAAGRycy9lMm9Eb2MueG1sUEsFBgAAAAAGAAYAWQEAAKAFAAAAAA==&#10;">
                      <v:fill on="t" focussize="0,0"/>
                      <v:stroke on="f"/>
                      <v:imagedata o:title=""/>
                      <o:lock v:ext="edit" aspectratio="f"/>
                    </v:rect>
                  </w:pict>
                </mc:Fallback>
              </mc:AlternateContent>
            </w:r>
            <w:bookmarkEnd w:id="0"/>
          </w:p>
        </w:tc>
      </w:tr>
    </w:tbl>
    <w:p w14:paraId="04499665">
      <w:pPr>
        <w:pStyle w:val="56"/>
        <w:framePr w:wrap="around"/>
        <w:rPr>
          <w:rFonts w:ascii="Times New Roman"/>
        </w:rPr>
      </w:pPr>
    </w:p>
    <w:p w14:paraId="161B4F60">
      <w:pPr>
        <w:pStyle w:val="87"/>
        <w:framePr w:wrap="around"/>
        <w:rPr>
          <w:rFonts w:ascii="Times New Roman"/>
        </w:rPr>
      </w:pPr>
      <w:r>
        <w:rPr>
          <w:rFonts w:hint="eastAsia" w:ascii="Times New Roman"/>
        </w:rPr>
        <w:t>白酒酸酯平衡度评价方法</w:t>
      </w:r>
    </w:p>
    <w:p w14:paraId="30C0CF92">
      <w:pPr>
        <w:pStyle w:val="87"/>
        <w:framePr w:wrap="around"/>
        <w:rPr>
          <w:rFonts w:ascii="Times New Roman"/>
        </w:rPr>
      </w:pPr>
      <w:r>
        <w:rPr>
          <w:rFonts w:ascii="Times New Roman" w:eastAsia="宋体"/>
          <w:sz w:val="24"/>
          <w:szCs w:val="24"/>
          <w:shd w:val="clear" w:color="auto" w:fill="FFFFFF"/>
        </w:rPr>
        <w:t xml:space="preserve">Evaluation </w:t>
      </w:r>
      <w:r>
        <w:rPr>
          <w:rFonts w:hint="eastAsia" w:ascii="Times New Roman" w:eastAsia="宋体"/>
          <w:sz w:val="24"/>
          <w:szCs w:val="24"/>
          <w:shd w:val="clear" w:color="auto" w:fill="FFFFFF"/>
        </w:rPr>
        <w:t>m</w:t>
      </w:r>
      <w:r>
        <w:rPr>
          <w:rFonts w:ascii="Times New Roman" w:eastAsia="宋体"/>
          <w:sz w:val="24"/>
          <w:szCs w:val="24"/>
          <w:shd w:val="clear" w:color="auto" w:fill="FFFFFF"/>
        </w:rPr>
        <w:t xml:space="preserve">ethod for the </w:t>
      </w:r>
      <w:r>
        <w:rPr>
          <w:rFonts w:hint="eastAsia" w:ascii="Times New Roman" w:eastAsia="宋体"/>
          <w:sz w:val="24"/>
          <w:szCs w:val="24"/>
          <w:shd w:val="clear" w:color="auto" w:fill="FFFFFF"/>
        </w:rPr>
        <w:t>a</w:t>
      </w:r>
      <w:r>
        <w:rPr>
          <w:rFonts w:ascii="Times New Roman" w:eastAsia="宋体"/>
          <w:sz w:val="24"/>
          <w:szCs w:val="24"/>
          <w:shd w:val="clear" w:color="auto" w:fill="FFFFFF"/>
        </w:rPr>
        <w:t>cid-</w:t>
      </w:r>
      <w:r>
        <w:rPr>
          <w:rFonts w:hint="eastAsia" w:ascii="Times New Roman" w:eastAsia="宋体"/>
          <w:sz w:val="24"/>
          <w:szCs w:val="24"/>
          <w:shd w:val="clear" w:color="auto" w:fill="FFFFFF"/>
        </w:rPr>
        <w:t>e</w:t>
      </w:r>
      <w:r>
        <w:rPr>
          <w:rFonts w:ascii="Times New Roman" w:eastAsia="宋体"/>
          <w:sz w:val="24"/>
          <w:szCs w:val="24"/>
          <w:shd w:val="clear" w:color="auto" w:fill="FFFFFF"/>
        </w:rPr>
        <w:t xml:space="preserve">ster </w:t>
      </w:r>
      <w:r>
        <w:rPr>
          <w:rFonts w:hint="eastAsia" w:ascii="Times New Roman" w:eastAsia="宋体"/>
          <w:sz w:val="24"/>
          <w:szCs w:val="24"/>
          <w:shd w:val="clear" w:color="auto" w:fill="FFFFFF"/>
        </w:rPr>
        <w:t>e</w:t>
      </w:r>
      <w:r>
        <w:rPr>
          <w:rFonts w:ascii="Times New Roman" w:eastAsia="宋体"/>
          <w:sz w:val="24"/>
          <w:szCs w:val="24"/>
          <w:shd w:val="clear" w:color="auto" w:fill="FFFFFF"/>
        </w:rPr>
        <w:t xml:space="preserve">quilibrium </w:t>
      </w:r>
      <w:r>
        <w:rPr>
          <w:rFonts w:hint="eastAsia" w:ascii="Times New Roman" w:eastAsia="宋体"/>
          <w:sz w:val="24"/>
          <w:szCs w:val="24"/>
          <w:shd w:val="clear" w:color="auto" w:fill="FFFFFF"/>
        </w:rPr>
        <w:t>d</w:t>
      </w:r>
      <w:r>
        <w:rPr>
          <w:rFonts w:ascii="Times New Roman" w:eastAsia="宋体"/>
          <w:sz w:val="24"/>
          <w:szCs w:val="24"/>
          <w:shd w:val="clear" w:color="auto" w:fill="FFFFFF"/>
        </w:rPr>
        <w:t>egree in Baijiu</w:t>
      </w: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29"/>
      </w:tblGrid>
      <w:tr w14:paraId="2ED46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6FE7E8A1">
            <w:pPr>
              <w:pStyle w:val="91"/>
              <w:framePr w:wrap="around"/>
              <w:spacing w:line="240" w:lineRule="auto"/>
              <w:rPr>
                <w:rFonts w:ascii="Times New Roman" w:eastAsia="黑体"/>
                <w:sz w:val="32"/>
                <w:szCs w:val="32"/>
              </w:rPr>
            </w:pPr>
            <w:r>
              <w:rPr>
                <w:rFonts w:ascii="Times New Roman" w:eastAsia="黑体"/>
                <w:sz w:val="32"/>
                <w:szCs w:val="32"/>
              </w:rPr>
              <w:t>（</w:t>
            </w:r>
            <w:r>
              <w:rPr>
                <w:rFonts w:hint="eastAsia" w:ascii="Times New Roman" w:eastAsia="黑体"/>
                <w:sz w:val="32"/>
                <w:szCs w:val="32"/>
                <w:lang w:val="en-US" w:eastAsia="zh-CN"/>
              </w:rPr>
              <w:t>征求意见</w:t>
            </w:r>
            <w:r>
              <w:rPr>
                <w:rFonts w:hint="eastAsia" w:ascii="Times New Roman" w:eastAsia="黑体"/>
                <w:sz w:val="32"/>
                <w:szCs w:val="32"/>
              </w:rPr>
              <w:t>稿</w:t>
            </w:r>
            <w:r>
              <w:rPr>
                <w:rFonts w:ascii="Times New Roman" w:eastAsia="黑体"/>
                <w:sz w:val="32"/>
                <w:szCs w:val="32"/>
              </w:rPr>
              <w:t>）</w:t>
            </w:r>
          </w:p>
        </w:tc>
      </w:tr>
    </w:tbl>
    <w:p w14:paraId="262B7B31">
      <w:pPr>
        <w:pStyle w:val="139"/>
        <w:framePr w:wrap="around" w:hAnchor="page" w:x="1381" w:y="14131"/>
      </w:pPr>
      <w:r>
        <w:t>202X - XX - XX发布</w:t>
      </w:r>
    </w:p>
    <w:p w14:paraId="6D21BACC">
      <w:pPr>
        <w:pStyle w:val="140"/>
        <w:framePr w:wrap="around" w:hAnchor="page" w:x="7081"/>
      </w:pPr>
      <w:r>
        <w:t>202X - XX - XX实施</w:t>
      </w:r>
    </w:p>
    <w:p w14:paraId="4208268F">
      <w:pPr>
        <w:pStyle w:val="120"/>
        <w:framePr w:wrap="around"/>
        <w:rPr>
          <w:rFonts w:ascii="Times New Roman"/>
        </w:rPr>
      </w:pPr>
      <w:r>
        <w:rPr>
          <w:rFonts w:ascii="Times New Roman"/>
        </w:rPr>
        <w:t>中国酒业协会</w:t>
      </w:r>
      <w:r>
        <w:rPr>
          <w:rFonts w:ascii="Times New Roman" w:eastAsia="MS Mincho"/>
        </w:rPr>
        <w:t>   </w:t>
      </w:r>
      <w:r>
        <w:rPr>
          <w:rStyle w:val="82"/>
          <w:rFonts w:ascii="Times New Roman" w:eastAsia="微软雅黑"/>
          <w:sz w:val="21"/>
          <w:szCs w:val="21"/>
        </w:rPr>
        <w:t>发布</w:t>
      </w:r>
    </w:p>
    <w:p w14:paraId="4DBC1EEE">
      <w:pPr>
        <w:pStyle w:val="48"/>
        <w:ind w:firstLine="0" w:firstLineChars="0"/>
        <w:rPr>
          <w:rFonts w:ascii="Times New Roman"/>
        </w:rPr>
      </w:pPr>
      <w:r>
        <w:rPr>
          <w:rFonts w:ascii="Times New Roman"/>
        </w:rPr>
        <w:t>ICS 67.160.10</w:t>
      </w:r>
    </w:p>
    <w:p w14:paraId="44FB6847">
      <w:pPr>
        <w:pStyle w:val="48"/>
        <w:ind w:firstLine="0" w:firstLineChars="0"/>
        <w:rPr>
          <w:rFonts w:ascii="Times New Roman"/>
        </w:rPr>
        <w:sectPr>
          <w:pgSz w:w="11906" w:h="16838"/>
          <w:pgMar w:top="567" w:right="850" w:bottom="1134" w:left="1418" w:header="0" w:footer="0" w:gutter="0"/>
          <w:pgNumType w:start="1"/>
          <w:cols w:space="425" w:num="1"/>
          <w:docGrid w:type="lines" w:linePitch="312" w:charSpace="0"/>
        </w:sectPr>
      </w:pPr>
      <w:r>
        <w:rPr>
          <w:rFonts w:ascii="Times New Roman"/>
        </w:rPr>
        <mc:AlternateContent>
          <mc:Choice Requires="wps">
            <w:drawing>
              <wp:anchor distT="0" distB="0" distL="114300" distR="114300" simplePos="0" relativeHeight="251660288" behindDoc="0" locked="0" layoutInCell="1" allowOverlap="1">
                <wp:simplePos x="0" y="0"/>
                <wp:positionH relativeFrom="column">
                  <wp:posOffset>56515</wp:posOffset>
                </wp:positionH>
                <wp:positionV relativeFrom="paragraph">
                  <wp:posOffset>8799830</wp:posOffset>
                </wp:positionV>
                <wp:extent cx="6120130" cy="0"/>
                <wp:effectExtent l="0" t="0" r="33020" b="19050"/>
                <wp:wrapNone/>
                <wp:docPr id="1" name="Line 1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1" o:spid="_x0000_s1026" o:spt="20" style="position:absolute;left:0pt;margin-left:4.45pt;margin-top:692.9pt;height:0pt;width:481.9pt;z-index:251660288;mso-width-relative:page;mso-height-relative:page;" filled="f" stroked="t" coordsize="21600,21600" o:gfxdata="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E2UavWAAAACwEAAA8AAAAAAAAAAQAgAAAAIgAAAGRycy9kb3du&#10;cmV2LnhtbFBLAQIUABQAAAAIAIdO4kBpfwqzyAEAAKADAAAOAAAAAAAAAAEAIAAAACUBAABkcnMv&#10;ZTJvRG9jLnhtbFBLBQYAAAAABgAGAFkBAABfBQAAAAA=&#10;">
                <v:fill on="f" focussize="0,0"/>
                <v:stroke color="#000000" joinstyle="round"/>
                <v:imagedata o:title=""/>
                <o:lock v:ext="edit" aspectratio="f"/>
              </v:line>
            </w:pict>
          </mc:Fallback>
        </mc:AlternateContent>
      </w:r>
      <w:r>
        <w:rPr>
          <w:rFonts w:ascii="Times New Roman"/>
        </w:rPr>
        <mc:AlternateContent>
          <mc:Choice Requires="wps">
            <w:drawing>
              <wp:anchor distT="0" distB="0" distL="114300" distR="114300" simplePos="0" relativeHeight="251661312" behindDoc="0" locked="0" layoutInCell="1" allowOverlap="1">
                <wp:simplePos x="0" y="0"/>
                <wp:positionH relativeFrom="column">
                  <wp:posOffset>104140</wp:posOffset>
                </wp:positionH>
                <wp:positionV relativeFrom="paragraph">
                  <wp:posOffset>1865630</wp:posOffset>
                </wp:positionV>
                <wp:extent cx="6120130" cy="0"/>
                <wp:effectExtent l="13970" t="13970" r="9525" b="5080"/>
                <wp:wrapNone/>
                <wp:docPr id="6" name="Line 11"/>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Line 11" o:spid="_x0000_s1026" o:spt="20" style="position:absolute;left:0pt;margin-left:8.2pt;margin-top:146.9pt;height:0pt;width:481.9pt;z-index:251661312;mso-width-relative:page;mso-height-relative:page;" filled="f" stroked="t" coordsize="21600,21600" o:gfxdata="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5nwRnWAAAACgEAAA8AAAAAAAAAAQAgAAAAIgAAAGRycy9kb3du&#10;cmV2LnhtbFBLAQIUABQAAAAIAIdO4kAs/fwnyAEAAKADAAAOAAAAAAAAAAEAIAAAACUBAABkcnMv&#10;ZTJvRG9jLnhtbFBLBQYAAAAABgAGAFkBAABfBQAAAAA=&#10;">
                <v:fill on="f" focussize="0,0"/>
                <v:stroke color="#000000" joinstyle="round"/>
                <v:imagedata o:title=""/>
                <o:lock v:ext="edit" aspectratio="f"/>
              </v:line>
            </w:pict>
          </mc:Fallback>
        </mc:AlternateContent>
      </w:r>
      <w:r>
        <w:rPr>
          <w:rFonts w:ascii="Times New Roman"/>
        </w:rPr>
        <w:t xml:space="preserve">X </w:t>
      </w:r>
      <w:r>
        <w:rPr>
          <w:rFonts w:hint="eastAsia" w:ascii="Times New Roman"/>
        </w:rPr>
        <w:t>61</w:t>
      </w:r>
    </w:p>
    <w:p w14:paraId="7BDC4122">
      <w:pPr>
        <w:pStyle w:val="48"/>
        <w:rPr>
          <w:rFonts w:ascii="Times New Roman"/>
        </w:rPr>
        <w:sectPr>
          <w:pgSz w:w="11906" w:h="16838"/>
          <w:pgMar w:top="567" w:right="850" w:bottom="1134" w:left="1418" w:header="0" w:footer="0" w:gutter="0"/>
          <w:pgNumType w:start="1"/>
          <w:cols w:space="425" w:num="1"/>
          <w:docGrid w:type="lines" w:linePitch="312" w:charSpace="0"/>
        </w:sectPr>
      </w:pPr>
    </w:p>
    <w:p w14:paraId="4BBBB148">
      <w:pPr>
        <w:pStyle w:val="59"/>
        <w:rPr>
          <w:rFonts w:ascii="Times New Roman"/>
        </w:rPr>
      </w:pPr>
      <w:bookmarkStart w:id="1" w:name="_Toc19869953"/>
      <w:bookmarkStart w:id="2" w:name="_Toc17709890"/>
      <w:bookmarkStart w:id="3" w:name="_Toc17470117"/>
      <w:r>
        <w:rPr>
          <w:rFonts w:ascii="Times New Roman"/>
        </w:rPr>
        <w:t>目</w:t>
      </w:r>
      <w:bookmarkStart w:id="4" w:name="BKML"/>
      <w:r>
        <w:rPr>
          <w:rFonts w:ascii="Times New Roman" w:eastAsia="MS Mincho"/>
        </w:rPr>
        <w:t>  </w:t>
      </w:r>
      <w:r>
        <w:rPr>
          <w:rFonts w:ascii="Times New Roman"/>
        </w:rPr>
        <w:t>次</w:t>
      </w:r>
      <w:bookmarkEnd w:id="4"/>
    </w:p>
    <w:p w14:paraId="7A8D01C7">
      <w:pPr>
        <w:pStyle w:val="21"/>
        <w:spacing w:before="78" w:after="78"/>
        <w:rPr>
          <w:rFonts w:ascii="Times New Roman" w:eastAsiaTheme="minorEastAsia"/>
          <w:szCs w:val="22"/>
        </w:rPr>
      </w:pPr>
      <w:r>
        <w:rPr>
          <w:rFonts w:ascii="Times New Roman"/>
        </w:rPr>
        <w:fldChar w:fldCharType="begin" w:fldLock="1"/>
      </w:r>
      <w:r>
        <w:rPr>
          <w:rFonts w:ascii="Times New Roman"/>
        </w:rPr>
        <w:instrText xml:space="preserve"> TOC \h \z \t"前言、引言标题,1,参考文献、索引标题,1,章标题,1,参考文献,1,附录标识,1" \* MERGEFORMAT </w:instrText>
      </w:r>
      <w:r>
        <w:rPr>
          <w:rFonts w:ascii="Times New Roman"/>
        </w:rPr>
        <w:fldChar w:fldCharType="separate"/>
      </w:r>
      <w:r>
        <w:fldChar w:fldCharType="begin"/>
      </w:r>
      <w:r>
        <w:instrText xml:space="preserve"> HYPERLINK \l "_Toc21592198" </w:instrText>
      </w:r>
      <w:r>
        <w:fldChar w:fldCharType="separate"/>
      </w:r>
      <w:r>
        <w:rPr>
          <w:rStyle w:val="40"/>
          <w:rFonts w:ascii="Times New Roman"/>
        </w:rPr>
        <w:t>前言</w:t>
      </w:r>
      <w:r>
        <w:rPr>
          <w:rFonts w:ascii="Times New Roman"/>
        </w:rPr>
        <w:tab/>
      </w:r>
      <w:r>
        <w:rPr>
          <w:rFonts w:hint="eastAsia" w:ascii="Times New Roman"/>
        </w:rPr>
        <w:t>I</w:t>
      </w:r>
      <w:r>
        <w:rPr>
          <w:rFonts w:hint="eastAsia" w:ascii="Times New Roman"/>
        </w:rPr>
        <w:fldChar w:fldCharType="end"/>
      </w:r>
    </w:p>
    <w:p w14:paraId="0E8A1B58">
      <w:pPr>
        <w:pStyle w:val="21"/>
        <w:spacing w:before="78" w:after="78"/>
        <w:rPr>
          <w:rFonts w:ascii="Times New Roman" w:eastAsiaTheme="minorEastAsia"/>
          <w:szCs w:val="22"/>
        </w:rPr>
      </w:pPr>
      <w:r>
        <w:fldChar w:fldCharType="begin"/>
      </w:r>
      <w:r>
        <w:instrText xml:space="preserve"> HYPERLINK \l "_Toc21592199" </w:instrText>
      </w:r>
      <w:r>
        <w:fldChar w:fldCharType="separate"/>
      </w:r>
      <w:r>
        <w:rPr>
          <w:rStyle w:val="40"/>
          <w:rFonts w:ascii="Times New Roman"/>
        </w:rPr>
        <w:t>1　范围</w:t>
      </w:r>
      <w:r>
        <w:rPr>
          <w:rFonts w:ascii="Times New Roman"/>
        </w:rPr>
        <w:tab/>
      </w:r>
      <w:r>
        <w:rPr>
          <w:rFonts w:ascii="Times New Roman"/>
        </w:rPr>
        <w:fldChar w:fldCharType="begin" w:fldLock="1"/>
      </w:r>
      <w:r>
        <w:rPr>
          <w:rFonts w:ascii="Times New Roman"/>
        </w:rPr>
        <w:instrText xml:space="preserve"> PAGEREF _Toc21592199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6347AFBF">
      <w:pPr>
        <w:pStyle w:val="21"/>
        <w:spacing w:before="78" w:after="78"/>
        <w:rPr>
          <w:rFonts w:ascii="Times New Roman" w:eastAsiaTheme="minorEastAsia"/>
          <w:szCs w:val="22"/>
        </w:rPr>
      </w:pPr>
      <w:r>
        <w:fldChar w:fldCharType="begin"/>
      </w:r>
      <w:r>
        <w:instrText xml:space="preserve"> HYPERLINK \l "_Toc21592200" </w:instrText>
      </w:r>
      <w:r>
        <w:fldChar w:fldCharType="separate"/>
      </w:r>
      <w:r>
        <w:rPr>
          <w:rStyle w:val="40"/>
          <w:rFonts w:ascii="Times New Roman"/>
        </w:rPr>
        <w:t>2　规范性引用文件</w:t>
      </w:r>
      <w:r>
        <w:rPr>
          <w:rFonts w:ascii="Times New Roman"/>
        </w:rPr>
        <w:tab/>
      </w:r>
      <w:r>
        <w:rPr>
          <w:rFonts w:ascii="Times New Roman"/>
        </w:rPr>
        <w:fldChar w:fldCharType="begin" w:fldLock="1"/>
      </w:r>
      <w:r>
        <w:rPr>
          <w:rFonts w:ascii="Times New Roman"/>
        </w:rPr>
        <w:instrText xml:space="preserve"> PAGEREF _Toc21592200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502E15BE">
      <w:pPr>
        <w:pStyle w:val="21"/>
        <w:spacing w:before="78" w:after="78"/>
        <w:rPr>
          <w:rFonts w:ascii="Times New Roman" w:eastAsiaTheme="minorEastAsia"/>
          <w:szCs w:val="22"/>
        </w:rPr>
      </w:pPr>
      <w:r>
        <w:fldChar w:fldCharType="begin"/>
      </w:r>
      <w:r>
        <w:instrText xml:space="preserve"> HYPERLINK \l "_Toc21592201" </w:instrText>
      </w:r>
      <w:r>
        <w:fldChar w:fldCharType="separate"/>
      </w:r>
      <w:r>
        <w:rPr>
          <w:rStyle w:val="40"/>
          <w:rFonts w:ascii="Times New Roman"/>
        </w:rPr>
        <w:t>3　术语和定义</w:t>
      </w:r>
      <w:r>
        <w:rPr>
          <w:rFonts w:ascii="Times New Roman"/>
        </w:rPr>
        <w:tab/>
      </w:r>
      <w:r>
        <w:rPr>
          <w:rFonts w:ascii="Times New Roman"/>
        </w:rPr>
        <w:fldChar w:fldCharType="begin" w:fldLock="1"/>
      </w:r>
      <w:r>
        <w:rPr>
          <w:rFonts w:ascii="Times New Roman"/>
        </w:rPr>
        <w:instrText xml:space="preserve"> PAGEREF _Toc21592201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1304EE52">
      <w:pPr>
        <w:pStyle w:val="21"/>
        <w:spacing w:before="78" w:after="78"/>
      </w:pPr>
      <w:r>
        <w:fldChar w:fldCharType="begin"/>
      </w:r>
      <w:r>
        <w:instrText xml:space="preserve"> HYPERLINK \l "_Toc21592202" </w:instrText>
      </w:r>
      <w:r>
        <w:fldChar w:fldCharType="separate"/>
      </w:r>
      <w:r>
        <w:rPr>
          <w:rStyle w:val="40"/>
          <w:rFonts w:hint="eastAsia" w:ascii="Times New Roman"/>
        </w:rPr>
        <w:t>4</w:t>
      </w:r>
      <w:r>
        <w:rPr>
          <w:rStyle w:val="40"/>
          <w:rFonts w:ascii="Times New Roman"/>
        </w:rPr>
        <w:t>　</w:t>
      </w:r>
      <w:r>
        <w:rPr>
          <w:rStyle w:val="40"/>
          <w:rFonts w:hint="eastAsia" w:ascii="Times New Roman"/>
        </w:rPr>
        <w:t>原理</w:t>
      </w:r>
      <w:r>
        <w:rPr>
          <w:rFonts w:ascii="Times New Roman"/>
        </w:rPr>
        <w:tab/>
      </w:r>
      <w:r>
        <w:rPr>
          <w:rFonts w:hint="eastAsia" w:ascii="Times New Roman"/>
        </w:rPr>
        <w:t>3</w:t>
      </w:r>
      <w:r>
        <w:rPr>
          <w:rFonts w:hint="eastAsia" w:ascii="Times New Roman"/>
        </w:rPr>
        <w:fldChar w:fldCharType="end"/>
      </w:r>
    </w:p>
    <w:p w14:paraId="3F378087">
      <w:pPr>
        <w:pStyle w:val="21"/>
        <w:spacing w:before="78" w:after="78"/>
        <w:rPr>
          <w:rFonts w:ascii="Times New Roman" w:eastAsiaTheme="minorEastAsia"/>
          <w:szCs w:val="22"/>
        </w:rPr>
      </w:pPr>
      <w:r>
        <w:fldChar w:fldCharType="begin"/>
      </w:r>
      <w:r>
        <w:instrText xml:space="preserve"> HYPERLINK \l "_Toc21592203" </w:instrText>
      </w:r>
      <w:r>
        <w:fldChar w:fldCharType="separate"/>
      </w:r>
      <w:r>
        <w:rPr>
          <w:rStyle w:val="40"/>
          <w:rFonts w:hint="eastAsia" w:ascii="Times New Roman"/>
        </w:rPr>
        <w:t>5</w:t>
      </w:r>
      <w:r>
        <w:rPr>
          <w:rStyle w:val="40"/>
          <w:rFonts w:ascii="Times New Roman"/>
        </w:rPr>
        <w:t>　计算方法</w:t>
      </w:r>
      <w:r>
        <w:rPr>
          <w:rFonts w:ascii="Times New Roman"/>
        </w:rPr>
        <w:tab/>
      </w:r>
      <w:r>
        <w:rPr>
          <w:rFonts w:ascii="Times New Roman"/>
        </w:rPr>
        <w:fldChar w:fldCharType="end"/>
      </w:r>
      <w:r>
        <w:rPr>
          <w:rFonts w:hint="eastAsia" w:ascii="Times New Roman"/>
        </w:rPr>
        <w:t>3</w:t>
      </w:r>
    </w:p>
    <w:p w14:paraId="4F4A927C">
      <w:pPr>
        <w:pStyle w:val="21"/>
        <w:spacing w:before="78" w:after="78"/>
        <w:rPr>
          <w:rFonts w:ascii="Times New Roman"/>
          <w:u w:val="single"/>
        </w:rPr>
      </w:pPr>
      <w:r>
        <w:rPr>
          <w:rFonts w:hint="eastAsia" w:ascii="Times New Roman"/>
        </w:rPr>
        <w:t>6</w:t>
      </w:r>
      <w:r>
        <w:fldChar w:fldCharType="begin"/>
      </w:r>
      <w:r>
        <w:instrText xml:space="preserve"> HYPERLINK \l "_Toc21592204" </w:instrText>
      </w:r>
      <w:r>
        <w:fldChar w:fldCharType="separate"/>
      </w:r>
      <w:r>
        <w:rPr>
          <w:rStyle w:val="40"/>
          <w:rFonts w:ascii="Times New Roman"/>
        </w:rPr>
        <w:t xml:space="preserve">  评定方法</w:t>
      </w:r>
      <w:r>
        <w:rPr>
          <w:rStyle w:val="40"/>
          <w:rFonts w:ascii="Times New Roman"/>
        </w:rPr>
        <w:tab/>
      </w:r>
      <w:r>
        <w:rPr>
          <w:rStyle w:val="40"/>
          <w:rFonts w:hint="eastAsia" w:ascii="Times New Roman"/>
        </w:rPr>
        <w:t>4</w:t>
      </w:r>
      <w:r>
        <w:rPr>
          <w:rStyle w:val="40"/>
          <w:rFonts w:hint="eastAsia" w:ascii="Times New Roman"/>
        </w:rPr>
        <w:fldChar w:fldCharType="end"/>
      </w:r>
    </w:p>
    <w:p w14:paraId="7AE277E9">
      <w:pPr>
        <w:pStyle w:val="21"/>
        <w:spacing w:before="78" w:after="78"/>
        <w:rPr>
          <w:rFonts w:ascii="Times New Roman"/>
        </w:rPr>
      </w:pPr>
      <w:r>
        <w:fldChar w:fldCharType="begin"/>
      </w:r>
      <w:r>
        <w:instrText xml:space="preserve"> HYPERLINK \l "_Toc21592204" </w:instrText>
      </w:r>
      <w:r>
        <w:fldChar w:fldCharType="separate"/>
      </w:r>
      <w:r>
        <w:rPr>
          <w:rFonts w:ascii="Times New Roman"/>
        </w:rPr>
        <w:t>参考文献</w:t>
      </w:r>
      <w:r>
        <w:rPr>
          <w:rFonts w:ascii="Times New Roman"/>
        </w:rPr>
        <w:tab/>
      </w:r>
      <w:r>
        <w:rPr>
          <w:rFonts w:hint="eastAsia" w:ascii="Times New Roman"/>
        </w:rPr>
        <w:t>6</w:t>
      </w:r>
      <w:r>
        <w:rPr>
          <w:rFonts w:hint="eastAsia" w:ascii="Times New Roman"/>
        </w:rPr>
        <w:fldChar w:fldCharType="end"/>
      </w:r>
    </w:p>
    <w:p w14:paraId="5D1F0FD1"/>
    <w:p w14:paraId="0BAEAD9B">
      <w:pPr>
        <w:pStyle w:val="48"/>
        <w:rPr>
          <w:rFonts w:ascii="Times New Roman"/>
        </w:rPr>
        <w:sectPr>
          <w:headerReference r:id="rId3" w:type="default"/>
          <w:footerReference r:id="rId4" w:type="default"/>
          <w:pgSz w:w="11906" w:h="16838"/>
          <w:pgMar w:top="567" w:right="1134" w:bottom="1134" w:left="1418" w:header="1418" w:footer="1134" w:gutter="0"/>
          <w:pgNumType w:start="1"/>
          <w:cols w:space="425" w:num="1"/>
          <w:formProt w:val="0"/>
          <w:docGrid w:type="lines" w:linePitch="312" w:charSpace="0"/>
        </w:sectPr>
      </w:pPr>
      <w:r>
        <w:rPr>
          <w:rFonts w:ascii="Times New Roman"/>
        </w:rPr>
        <w:fldChar w:fldCharType="end"/>
      </w:r>
    </w:p>
    <w:p w14:paraId="4746BD45">
      <w:pPr>
        <w:pStyle w:val="121"/>
        <w:rPr>
          <w:rFonts w:ascii="Times New Roman"/>
        </w:rPr>
      </w:pPr>
      <w:bookmarkStart w:id="5" w:name="_Toc21592198"/>
      <w:r>
        <w:rPr>
          <w:rFonts w:ascii="Times New Roman"/>
        </w:rPr>
        <w:t>前</w:t>
      </w:r>
      <w:bookmarkStart w:id="6" w:name="BKQY"/>
      <w:r>
        <w:rPr>
          <w:rFonts w:ascii="Times New Roman" w:eastAsia="MS Mincho"/>
        </w:rPr>
        <w:t>  </w:t>
      </w:r>
      <w:r>
        <w:rPr>
          <w:rFonts w:ascii="Times New Roman"/>
        </w:rPr>
        <w:t>言</w:t>
      </w:r>
      <w:bookmarkEnd w:id="1"/>
      <w:bookmarkEnd w:id="2"/>
      <w:bookmarkEnd w:id="3"/>
      <w:bookmarkEnd w:id="5"/>
      <w:bookmarkEnd w:id="6"/>
    </w:p>
    <w:p w14:paraId="7FD7CF1D">
      <w:pPr>
        <w:ind w:firstLine="420" w:firstLineChars="200"/>
      </w:pPr>
      <w:r>
        <w:t>本文件按照GB/T 1.1—2020《标准化工作导则 第1部分：标准化文件的结构和起草规则》的规则起草。</w:t>
      </w:r>
    </w:p>
    <w:p w14:paraId="15317D94">
      <w:pPr>
        <w:ind w:firstLine="420" w:firstLineChars="200"/>
      </w:pPr>
      <w:r>
        <w:t>请注意本文件的某些内容可能涉及专利。本文件的发布机构不承担识别专利的责任。</w:t>
      </w:r>
    </w:p>
    <w:p w14:paraId="16F25FAD">
      <w:pPr>
        <w:ind w:firstLine="420" w:firstLineChars="200"/>
      </w:pPr>
      <w:r>
        <w:t>本文件由中国酒业协会提出</w:t>
      </w:r>
      <w:r>
        <w:rPr>
          <w:rFonts w:hint="eastAsia"/>
          <w:lang w:val="en-US" w:eastAsia="zh-CN"/>
        </w:rPr>
        <w:t>并</w:t>
      </w:r>
      <w:r>
        <w:t>归口。</w:t>
      </w:r>
    </w:p>
    <w:p w14:paraId="6B4D3BBF">
      <w:pPr>
        <w:ind w:firstLine="420" w:firstLineChars="200"/>
      </w:pPr>
      <w:r>
        <w:t xml:space="preserve">本文件主要起草单位：xxx,xxx,xxx </w:t>
      </w:r>
    </w:p>
    <w:p w14:paraId="0CFA0EAB">
      <w:pPr>
        <w:pStyle w:val="48"/>
        <w:rPr>
          <w:rFonts w:ascii="Times New Roman"/>
        </w:rPr>
      </w:pPr>
      <w:r>
        <w:rPr>
          <w:rFonts w:ascii="Times New Roman"/>
        </w:rPr>
        <w:t>本文件主要起草人：xxx,xxx,xxx</w:t>
      </w:r>
    </w:p>
    <w:p w14:paraId="70116865">
      <w:pPr>
        <w:pStyle w:val="48"/>
        <w:rPr>
          <w:rFonts w:ascii="Times New Roman"/>
        </w:rPr>
      </w:pPr>
    </w:p>
    <w:p w14:paraId="66DEE652">
      <w:pPr>
        <w:pStyle w:val="48"/>
        <w:rPr>
          <w:rFonts w:ascii="Times New Roman"/>
        </w:rPr>
      </w:pPr>
    </w:p>
    <w:p w14:paraId="1036CCE8">
      <w:pPr>
        <w:pStyle w:val="59"/>
        <w:rPr>
          <w:rFonts w:ascii="Times New Roman"/>
        </w:rPr>
      </w:pPr>
      <w:r>
        <w:rPr>
          <w:rFonts w:hint="eastAsia" w:ascii="Times New Roman"/>
        </w:rPr>
        <w:t>白酒酸酯平衡度评价方法</w:t>
      </w:r>
    </w:p>
    <w:p w14:paraId="215F9016">
      <w:pPr>
        <w:pStyle w:val="54"/>
        <w:spacing w:before="312" w:after="312"/>
        <w:rPr>
          <w:rFonts w:ascii="Times New Roman"/>
        </w:rPr>
      </w:pPr>
      <w:bookmarkStart w:id="7" w:name="_Toc17468370"/>
      <w:bookmarkEnd w:id="7"/>
      <w:bookmarkStart w:id="8" w:name="_Toc17470118"/>
      <w:bookmarkStart w:id="9" w:name="_Toc17709891"/>
      <w:bookmarkStart w:id="10" w:name="_Toc19869954"/>
      <w:bookmarkStart w:id="11" w:name="_Toc21592199"/>
      <w:r>
        <w:rPr>
          <w:rFonts w:ascii="Times New Roman"/>
        </w:rPr>
        <w:t>范围</w:t>
      </w:r>
      <w:bookmarkEnd w:id="8"/>
      <w:bookmarkEnd w:id="9"/>
      <w:bookmarkEnd w:id="10"/>
      <w:bookmarkEnd w:id="11"/>
    </w:p>
    <w:p w14:paraId="6A27717C">
      <w:pPr>
        <w:pStyle w:val="48"/>
        <w:rPr>
          <w:rFonts w:ascii="Times New Roman"/>
        </w:rPr>
      </w:pPr>
      <w:r>
        <w:rPr>
          <w:rFonts w:hint="eastAsia" w:ascii="Times New Roman"/>
        </w:rPr>
        <w:t>本文件规定了白酒酸酯平衡度的</w:t>
      </w:r>
      <w:r>
        <w:rPr>
          <w:rFonts w:ascii="Times New Roman"/>
        </w:rPr>
        <w:t>术语和定义、原理、计算方法及评定方法</w:t>
      </w:r>
      <w:r>
        <w:rPr>
          <w:rFonts w:hint="eastAsia" w:ascii="Times New Roman"/>
        </w:rPr>
        <w:t>。</w:t>
      </w:r>
    </w:p>
    <w:p w14:paraId="0639858E">
      <w:pPr>
        <w:pStyle w:val="48"/>
        <w:rPr>
          <w:rFonts w:ascii="Times New Roman"/>
        </w:rPr>
      </w:pPr>
      <w:r>
        <w:rPr>
          <w:rFonts w:hint="eastAsia" w:ascii="Times New Roman"/>
        </w:rPr>
        <w:t>本文件适用于白酒在储存期或货架期的酸酯平衡度</w:t>
      </w:r>
      <w:r>
        <w:rPr>
          <w:rFonts w:ascii="Times New Roman"/>
        </w:rPr>
        <w:t>评价</w:t>
      </w:r>
      <w:r>
        <w:rPr>
          <w:rFonts w:hint="eastAsia" w:ascii="Times New Roman"/>
        </w:rPr>
        <w:t>。</w:t>
      </w:r>
    </w:p>
    <w:p w14:paraId="67C55474">
      <w:pPr>
        <w:pStyle w:val="48"/>
        <w:rPr>
          <w:rFonts w:ascii="Times New Roman"/>
        </w:rPr>
      </w:pPr>
      <w:r>
        <w:rPr>
          <w:rFonts w:ascii="Times New Roman"/>
        </w:rPr>
        <w:t>本文件具有良好的香型与酒精度普适性，适用于</w:t>
      </w:r>
      <w:r>
        <w:rPr>
          <w:rFonts w:hint="eastAsia" w:ascii="Times New Roman"/>
        </w:rPr>
        <w:t>各类</w:t>
      </w:r>
      <w:r>
        <w:rPr>
          <w:rFonts w:ascii="Times New Roman"/>
        </w:rPr>
        <w:t>香型、不同酒精度在内的各类白酒。</w:t>
      </w:r>
    </w:p>
    <w:p w14:paraId="1845C501">
      <w:pPr>
        <w:pStyle w:val="54"/>
        <w:spacing w:before="312" w:after="312"/>
        <w:rPr>
          <w:rFonts w:ascii="Times New Roman"/>
        </w:rPr>
      </w:pPr>
      <w:bookmarkStart w:id="12" w:name="_Toc17470119"/>
      <w:bookmarkStart w:id="13" w:name="_Toc21592200"/>
      <w:bookmarkStart w:id="14" w:name="_Toc19869955"/>
      <w:bookmarkStart w:id="15" w:name="_Toc17709892"/>
      <w:r>
        <w:rPr>
          <w:rFonts w:ascii="Times New Roman"/>
        </w:rPr>
        <w:t>规范性引用文件</w:t>
      </w:r>
      <w:bookmarkEnd w:id="12"/>
      <w:bookmarkEnd w:id="13"/>
      <w:bookmarkEnd w:id="14"/>
      <w:bookmarkEnd w:id="15"/>
    </w:p>
    <w:p w14:paraId="47A36931">
      <w:pPr>
        <w:pStyle w:val="48"/>
        <w:rPr>
          <w:rFonts w:ascii="Times New Roman"/>
        </w:rPr>
      </w:pPr>
      <w:r>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3074E9F">
      <w:pPr>
        <w:pStyle w:val="48"/>
        <w:rPr>
          <w:rFonts w:ascii="Times New Roman"/>
        </w:rPr>
      </w:pPr>
      <w:r>
        <w:rPr>
          <w:rFonts w:ascii="Times New Roman"/>
        </w:rPr>
        <w:t>GB/T 15109</w:t>
      </w:r>
      <w:r>
        <w:t>—</w:t>
      </w:r>
      <w:r>
        <w:rPr>
          <w:rFonts w:ascii="Times New Roman"/>
        </w:rPr>
        <w:t>2021  白酒工业术语</w:t>
      </w:r>
    </w:p>
    <w:p w14:paraId="2A601117">
      <w:pPr>
        <w:pStyle w:val="48"/>
        <w:rPr>
          <w:rFonts w:ascii="Times New Roman"/>
          <w:color w:val="auto"/>
          <w:szCs w:val="21"/>
        </w:rPr>
      </w:pPr>
      <w:r>
        <w:rPr>
          <w:rFonts w:ascii="Times New Roman"/>
          <w:color w:val="auto"/>
          <w:szCs w:val="21"/>
        </w:rPr>
        <w:t>GB/T 10345</w:t>
      </w:r>
      <w:r>
        <w:rPr>
          <w:color w:val="auto"/>
        </w:rPr>
        <w:t>—</w:t>
      </w:r>
      <w:r>
        <w:rPr>
          <w:rFonts w:ascii="Times New Roman"/>
          <w:color w:val="auto"/>
          <w:szCs w:val="21"/>
        </w:rPr>
        <w:t>2022  白酒分析方法</w:t>
      </w:r>
    </w:p>
    <w:p w14:paraId="3D050621">
      <w:pPr>
        <w:pStyle w:val="48"/>
        <w:rPr>
          <w:rFonts w:hint="eastAsia" w:ascii="Times New Roman"/>
          <w:color w:val="auto"/>
          <w:szCs w:val="21"/>
        </w:rPr>
      </w:pPr>
      <w:r>
        <w:rPr>
          <w:rFonts w:ascii="Times New Roman"/>
          <w:color w:val="auto"/>
          <w:szCs w:val="21"/>
        </w:rPr>
        <w:t>GB 5009.157—2016</w:t>
      </w:r>
      <w:r>
        <w:rPr>
          <w:rFonts w:hint="eastAsia" w:ascii="Times New Roman"/>
          <w:color w:val="auto"/>
          <w:szCs w:val="21"/>
        </w:rPr>
        <w:t xml:space="preserve">  </w:t>
      </w:r>
      <w:r>
        <w:rPr>
          <w:rFonts w:ascii="Times New Roman"/>
          <w:color w:val="auto"/>
          <w:szCs w:val="21"/>
        </w:rPr>
        <w:t>食品安全国家标准 食品中有机酸的测定</w:t>
      </w:r>
    </w:p>
    <w:p w14:paraId="427C6557">
      <w:pPr>
        <w:pStyle w:val="54"/>
        <w:spacing w:before="312" w:after="312"/>
        <w:rPr>
          <w:rFonts w:ascii="Times New Roman"/>
        </w:rPr>
      </w:pPr>
      <w:bookmarkStart w:id="16" w:name="_Toc21592201"/>
      <w:bookmarkStart w:id="17" w:name="_Toc19869956"/>
      <w:bookmarkStart w:id="18" w:name="_Toc17709893"/>
      <w:bookmarkStart w:id="19" w:name="_Toc17470120"/>
      <w:r>
        <w:rPr>
          <w:rFonts w:ascii="Times New Roman"/>
        </w:rPr>
        <w:t>术语和定义</w:t>
      </w:r>
      <w:bookmarkEnd w:id="16"/>
      <w:bookmarkEnd w:id="17"/>
      <w:bookmarkEnd w:id="18"/>
    </w:p>
    <w:p w14:paraId="3948871C">
      <w:pPr>
        <w:pStyle w:val="48"/>
        <w:rPr>
          <w:rFonts w:ascii="Times New Roman"/>
        </w:rPr>
      </w:pPr>
      <w:r>
        <w:rPr>
          <w:rFonts w:ascii="Times New Roman"/>
        </w:rPr>
        <w:t>GB/T 15109界定的以及下列术语和定义适用于本文件。</w:t>
      </w:r>
    </w:p>
    <w:p w14:paraId="2E74021B">
      <w:pPr>
        <w:pStyle w:val="51"/>
        <w:spacing w:before="156" w:after="156"/>
        <w:rPr>
          <w:rFonts w:ascii="Times New Roman"/>
        </w:rPr>
      </w:pPr>
      <w:bookmarkStart w:id="20" w:name="_Toc227834401"/>
      <w:r>
        <w:rPr>
          <w:rFonts w:ascii="Times New Roman"/>
        </w:rPr>
        <w:t xml:space="preserve">酸酯平衡 acid-ester equilibrium </w:t>
      </w:r>
      <w:bookmarkEnd w:id="20"/>
    </w:p>
    <w:p w14:paraId="3381A3D8">
      <w:pPr>
        <w:pStyle w:val="154"/>
        <w:rPr>
          <w:rFonts w:ascii="Times New Roman" w:hAnsi="Times New Roman"/>
        </w:rPr>
      </w:pPr>
      <w:r>
        <w:rPr>
          <w:rFonts w:ascii="Times New Roman" w:hAnsi="Times New Roman"/>
        </w:rPr>
        <w:t>白酒在贮存过程中，其酸、酯风味物质趋于动态平衡，是陈酿时间与酒体风味稳定性的综合体现。</w:t>
      </w:r>
    </w:p>
    <w:p w14:paraId="0F776DBD">
      <w:pPr>
        <w:pStyle w:val="51"/>
        <w:spacing w:before="156" w:after="156"/>
        <w:rPr>
          <w:rFonts w:ascii="Times New Roman"/>
        </w:rPr>
      </w:pPr>
      <w:bookmarkStart w:id="21" w:name="_Toc227834402"/>
      <w:r>
        <w:rPr>
          <w:rFonts w:ascii="Times New Roman"/>
        </w:rPr>
        <w:t>简化反应商 simplified reaction quotient (</w:t>
      </w:r>
      <w:r>
        <w:rPr>
          <w:rFonts w:ascii="Times New Roman"/>
          <w:i/>
          <w:iCs/>
        </w:rPr>
        <w:t>Q</w:t>
      </w:r>
      <w:r>
        <w:rPr>
          <w:rFonts w:ascii="Times New Roman"/>
        </w:rPr>
        <w:t>)</w:t>
      </w:r>
      <w:bookmarkEnd w:id="21"/>
    </w:p>
    <w:p w14:paraId="73B99E16">
      <w:pPr>
        <w:pStyle w:val="154"/>
        <w:rPr>
          <w:rFonts w:ascii="Times New Roman" w:hAnsi="Times New Roman"/>
          <w:color w:val="auto"/>
        </w:rPr>
      </w:pPr>
      <w:r>
        <w:rPr>
          <w:rFonts w:ascii="Times New Roman" w:hAnsi="Times New Roman"/>
        </w:rPr>
        <w:t>在特定温度下，对于白</w:t>
      </w:r>
      <w:r>
        <w:rPr>
          <w:rFonts w:ascii="Times New Roman" w:hAnsi="Times New Roman"/>
          <w:color w:val="auto"/>
        </w:rPr>
        <w:t>酒中</w:t>
      </w:r>
      <w:r>
        <w:rPr>
          <w:rFonts w:hint="eastAsia" w:ascii="Times New Roman" w:hAnsi="Times New Roman"/>
          <w:color w:val="auto"/>
        </w:rPr>
        <w:t>酸和醇</w:t>
      </w:r>
      <w:r>
        <w:rPr>
          <w:rFonts w:ascii="Times New Roman" w:hAnsi="Times New Roman"/>
          <w:color w:val="auto"/>
        </w:rPr>
        <w:t>的</w:t>
      </w:r>
      <w:r>
        <w:rPr>
          <w:rFonts w:hint="eastAsia" w:ascii="Times New Roman" w:hAnsi="Times New Roman"/>
          <w:color w:val="auto"/>
        </w:rPr>
        <w:t>酯化</w:t>
      </w:r>
      <w:r>
        <w:rPr>
          <w:rFonts w:ascii="Times New Roman" w:hAnsi="Times New Roman"/>
          <w:color w:val="auto"/>
        </w:rPr>
        <w:t>反应（酸</w:t>
      </w:r>
      <w:r>
        <w:rPr>
          <w:rFonts w:hint="eastAsia" w:ascii="Times New Roman" w:hAnsi="Times New Roman"/>
          <w:color w:val="auto"/>
        </w:rPr>
        <w:t xml:space="preserve"> </w:t>
      </w:r>
      <w:r>
        <w:rPr>
          <w:rFonts w:ascii="Times New Roman" w:hAnsi="Times New Roman"/>
          <w:color w:val="auto"/>
        </w:rPr>
        <w:t>+</w:t>
      </w:r>
      <w:r>
        <w:rPr>
          <w:rFonts w:hint="eastAsia" w:ascii="Times New Roman" w:hAnsi="Times New Roman"/>
          <w:color w:val="auto"/>
        </w:rPr>
        <w:t xml:space="preserve"> </w:t>
      </w:r>
      <w:r>
        <w:rPr>
          <w:rFonts w:ascii="Times New Roman" w:hAnsi="Times New Roman"/>
          <w:color w:val="auto"/>
        </w:rPr>
        <w:t>醇</w:t>
      </w:r>
      <w:r>
        <w:rPr>
          <w:rFonts w:hint="eastAsia" w:ascii="Times New Roman" w:hAnsi="Times New Roman"/>
          <w:color w:val="auto"/>
        </w:rPr>
        <w:t xml:space="preserve"> </w:t>
      </w:r>
      <w:r>
        <w:rPr>
          <w:rFonts w:ascii="Cambria Math" w:hAnsi="Cambria Math" w:cs="Cambria Math"/>
          <w:color w:val="auto"/>
        </w:rPr>
        <w:t>⇌</w:t>
      </w:r>
      <w:r>
        <w:rPr>
          <w:rFonts w:hint="eastAsia" w:ascii="Cambria Math" w:hAnsi="Cambria Math" w:cs="Cambria Math"/>
          <w:color w:val="auto"/>
        </w:rPr>
        <w:t xml:space="preserve"> </w:t>
      </w:r>
      <w:r>
        <w:rPr>
          <w:rFonts w:ascii="Times New Roman" w:hAnsi="Times New Roman"/>
          <w:color w:val="auto"/>
        </w:rPr>
        <w:t>酯</w:t>
      </w:r>
      <w:r>
        <w:rPr>
          <w:rFonts w:hint="eastAsia" w:ascii="Times New Roman" w:hAnsi="Times New Roman"/>
          <w:color w:val="auto"/>
        </w:rPr>
        <w:t xml:space="preserve"> </w:t>
      </w:r>
      <w:r>
        <w:rPr>
          <w:rFonts w:ascii="Times New Roman" w:hAnsi="Times New Roman"/>
          <w:color w:val="auto"/>
        </w:rPr>
        <w:t>+</w:t>
      </w:r>
      <w:r>
        <w:rPr>
          <w:rFonts w:hint="eastAsia" w:ascii="Times New Roman" w:hAnsi="Times New Roman"/>
          <w:color w:val="auto"/>
        </w:rPr>
        <w:t xml:space="preserve"> </w:t>
      </w:r>
      <w:r>
        <w:rPr>
          <w:rFonts w:ascii="Times New Roman" w:hAnsi="Times New Roman"/>
          <w:color w:val="auto"/>
        </w:rPr>
        <w:t>水），以各组分浓度代替活度，按反应计量系数计算的浓度商。</w:t>
      </w:r>
    </w:p>
    <w:p w14:paraId="32F29533">
      <w:pPr>
        <w:pStyle w:val="154"/>
        <w:rPr>
          <w:rFonts w:ascii="Times New Roman" w:hAnsi="Times New Roman"/>
          <w:color w:val="auto"/>
        </w:rPr>
      </w:pPr>
      <w:r>
        <w:rPr>
          <w:rFonts w:ascii="Times New Roman" w:hAnsi="Times New Roman"/>
          <w:color w:val="auto"/>
        </w:rPr>
        <w:t>本文件中特指某一酯类浓度与其对应有机酸浓度的比值</w:t>
      </w:r>
      <w:r>
        <w:rPr>
          <w:rFonts w:hint="eastAsia" w:ascii="Times New Roman" w:hAnsi="Times New Roman"/>
          <w:color w:val="auto"/>
        </w:rPr>
        <w:t>。</w:t>
      </w:r>
    </w:p>
    <w:p w14:paraId="1F528BE3">
      <w:pPr>
        <w:pStyle w:val="51"/>
        <w:spacing w:before="156" w:after="156"/>
        <w:rPr>
          <w:rFonts w:ascii="Times New Roman"/>
          <w:color w:val="auto"/>
        </w:rPr>
      </w:pPr>
      <w:bookmarkStart w:id="22" w:name="_Toc227834403"/>
      <w:r>
        <w:rPr>
          <w:rFonts w:ascii="Times New Roman"/>
          <w:color w:val="auto"/>
        </w:rPr>
        <w:t>应用平衡常数 applied equilibrium constant (</w:t>
      </w:r>
      <w:r>
        <w:rPr>
          <w:rFonts w:ascii="Times New Roman"/>
          <w:i/>
          <w:iCs/>
          <w:color w:val="auto"/>
        </w:rPr>
        <w:t>K</w:t>
      </w:r>
      <w:r>
        <w:rPr>
          <w:rFonts w:ascii="Times New Roman"/>
          <w:color w:val="auto"/>
          <w:vertAlign w:val="subscript"/>
        </w:rPr>
        <w:t>app</w:t>
      </w:r>
      <w:r>
        <w:rPr>
          <w:rFonts w:ascii="Times New Roman"/>
          <w:color w:val="auto"/>
        </w:rPr>
        <w:t>)</w:t>
      </w:r>
      <w:bookmarkEnd w:id="22"/>
    </w:p>
    <w:p w14:paraId="3CCD4C72">
      <w:pPr>
        <w:pStyle w:val="154"/>
        <w:rPr>
          <w:rFonts w:ascii="Times New Roman" w:hAnsi="Times New Roman"/>
        </w:rPr>
      </w:pPr>
      <w:r>
        <w:rPr>
          <w:rFonts w:ascii="Times New Roman" w:hAnsi="Times New Roman"/>
          <w:color w:val="auto"/>
        </w:rPr>
        <w:t>在特定温度、酒精度条件下，白酒中</w:t>
      </w:r>
      <w:r>
        <w:rPr>
          <w:rFonts w:hint="eastAsia" w:ascii="Times New Roman" w:hAnsi="Times New Roman"/>
          <w:color w:val="auto"/>
        </w:rPr>
        <w:t>酸和醇</w:t>
      </w:r>
      <w:r>
        <w:rPr>
          <w:rFonts w:ascii="Times New Roman" w:hAnsi="Times New Roman"/>
          <w:color w:val="auto"/>
        </w:rPr>
        <w:t>的</w:t>
      </w:r>
      <w:r>
        <w:rPr>
          <w:rFonts w:hint="eastAsia" w:ascii="Times New Roman" w:hAnsi="Times New Roman"/>
          <w:color w:val="auto"/>
        </w:rPr>
        <w:t>酯化</w:t>
      </w:r>
      <w:r>
        <w:rPr>
          <w:rFonts w:ascii="Times New Roman" w:hAnsi="Times New Roman"/>
          <w:color w:val="auto"/>
        </w:rPr>
        <w:t>反</w:t>
      </w:r>
      <w:r>
        <w:rPr>
          <w:rFonts w:ascii="Times New Roman" w:hAnsi="Times New Roman"/>
        </w:rPr>
        <w:t>应达到化学平衡时，生成物浓度幂次乘积与反应物浓度幂次乘积的比值。</w:t>
      </w:r>
    </w:p>
    <w:p w14:paraId="2AFA881C">
      <w:pPr>
        <w:pStyle w:val="154"/>
        <w:rPr>
          <w:rFonts w:ascii="Times New Roman" w:hAnsi="Times New Roman"/>
        </w:rPr>
      </w:pPr>
      <w:r>
        <w:rPr>
          <w:rFonts w:ascii="Times New Roman" w:hAnsi="Times New Roman"/>
        </w:rPr>
        <w:t>本文件中特指标准酒样中某主体酯与其对应有机酸的浓度比值</w:t>
      </w:r>
      <w:r>
        <w:rPr>
          <w:rFonts w:hint="eastAsia" w:ascii="Times New Roman" w:hAnsi="Times New Roman"/>
        </w:rPr>
        <w:t>，该比值</w:t>
      </w:r>
      <w:r>
        <w:rPr>
          <w:rFonts w:ascii="Times New Roman" w:hAnsi="Times New Roman"/>
        </w:rPr>
        <w:t>由各实验室自行测定标准酒样（</w:t>
      </w:r>
      <w:r>
        <w:rPr>
          <w:rFonts w:hint="eastAsia" w:ascii="Times New Roman" w:hAnsi="Times New Roman"/>
        </w:rPr>
        <w:t>自然老熟、</w:t>
      </w:r>
      <w:r>
        <w:rPr>
          <w:rFonts w:ascii="Times New Roman" w:hAnsi="Times New Roman"/>
        </w:rPr>
        <w:t>密闭玻璃瓶储不少于15年的同酒精度白酒）得到，</w:t>
      </w:r>
      <w:r>
        <w:rPr>
          <w:rFonts w:hint="eastAsia" w:ascii="Times New Roman" w:hAnsi="Times New Roman"/>
        </w:rPr>
        <w:t>为</w:t>
      </w:r>
      <w:r>
        <w:rPr>
          <w:rFonts w:ascii="Times New Roman" w:hAnsi="Times New Roman"/>
        </w:rPr>
        <w:t>适用于本实验室色谱系统条件的酸酯平衡特征值。</w:t>
      </w:r>
    </w:p>
    <w:p w14:paraId="684453B7">
      <w:pPr>
        <w:pStyle w:val="51"/>
        <w:spacing w:before="156" w:after="156"/>
        <w:rPr>
          <w:rFonts w:ascii="Times New Roman"/>
        </w:rPr>
      </w:pPr>
      <w:r>
        <w:rPr>
          <w:rFonts w:hint="eastAsia" w:ascii="Times New Roman"/>
        </w:rPr>
        <w:t>平衡度</w:t>
      </w:r>
      <w:r>
        <w:rPr>
          <w:rFonts w:ascii="Times New Roman"/>
        </w:rPr>
        <w:t>balance degree (</w:t>
      </w:r>
      <w:r>
        <w:rPr>
          <w:rFonts w:ascii="Times New Roman"/>
          <w:i/>
          <w:iCs/>
        </w:rPr>
        <w:t>B</w:t>
      </w:r>
      <w:r>
        <w:rPr>
          <w:rFonts w:ascii="Times New Roman"/>
        </w:rPr>
        <w:t>)</w:t>
      </w:r>
    </w:p>
    <w:p w14:paraId="204C8081">
      <w:pPr>
        <w:pStyle w:val="154"/>
        <w:rPr>
          <w:rFonts w:ascii="Times New Roman" w:hAnsi="Times New Roman"/>
        </w:rPr>
      </w:pPr>
      <w:r>
        <w:rPr>
          <w:rFonts w:ascii="Times New Roman" w:hAnsi="Times New Roman"/>
        </w:rPr>
        <w:t>反映酒体中主体酯类简化反应商与相应应用平衡常数整体接近程度的量化指标，取值范围为 0</w:t>
      </w:r>
      <w:r>
        <w:rPr>
          <w:rFonts w:hint="eastAsia" w:ascii="Times New Roman" w:hAnsi="Times New Roman"/>
        </w:rPr>
        <w:t>%</w:t>
      </w:r>
      <w:r>
        <w:rPr>
          <w:rFonts w:ascii="Times New Roman" w:hAnsi="Times New Roman"/>
        </w:rPr>
        <w:t xml:space="preserve"> 到 1</w:t>
      </w:r>
      <w:r>
        <w:rPr>
          <w:rFonts w:hint="eastAsia" w:ascii="Times New Roman" w:hAnsi="Times New Roman"/>
        </w:rPr>
        <w:t>00%</w:t>
      </w:r>
      <w:r>
        <w:rPr>
          <w:rFonts w:ascii="Times New Roman" w:hAnsi="Times New Roman"/>
        </w:rPr>
        <w:t>。数值越接近1</w:t>
      </w:r>
      <w:r>
        <w:rPr>
          <w:rFonts w:hint="eastAsia" w:ascii="Times New Roman" w:hAnsi="Times New Roman"/>
        </w:rPr>
        <w:t>00%</w:t>
      </w:r>
      <w:r>
        <w:rPr>
          <w:rFonts w:ascii="Times New Roman" w:hAnsi="Times New Roman"/>
        </w:rPr>
        <w:t>，表示酸酯体系越接近平衡状态。</w:t>
      </w:r>
    </w:p>
    <w:p w14:paraId="31EA935B">
      <w:pPr>
        <w:pStyle w:val="51"/>
        <w:spacing w:before="156" w:after="156"/>
        <w:rPr>
          <w:rFonts w:ascii="Times New Roman"/>
        </w:rPr>
      </w:pPr>
      <w:bookmarkStart w:id="23" w:name="_Toc227834405"/>
      <w:r>
        <w:rPr>
          <w:rFonts w:ascii="Times New Roman"/>
        </w:rPr>
        <w:t>标准酒样 standard Baijiu sample</w:t>
      </w:r>
      <w:bookmarkEnd w:id="23"/>
    </w:p>
    <w:p w14:paraId="0F23D045">
      <w:pPr>
        <w:pStyle w:val="154"/>
        <w:rPr>
          <w:rFonts w:ascii="Times New Roman" w:hAnsi="Times New Roman"/>
        </w:rPr>
      </w:pPr>
      <w:r>
        <w:rPr>
          <w:rFonts w:hint="eastAsia" w:ascii="Times New Roman" w:hAnsi="Times New Roman"/>
        </w:rPr>
        <w:t>自然老熟、密闭玻璃</w:t>
      </w:r>
      <w:r>
        <w:rPr>
          <w:rFonts w:ascii="Times New Roman" w:hAnsi="Times New Roman"/>
        </w:rPr>
        <w:t>瓶储时间不少于1</w:t>
      </w:r>
      <w:r>
        <w:rPr>
          <w:rFonts w:hint="eastAsia" w:ascii="Times New Roman" w:hAnsi="Times New Roman"/>
        </w:rPr>
        <w:t>5</w:t>
      </w:r>
      <w:r>
        <w:rPr>
          <w:rFonts w:ascii="Times New Roman" w:hAnsi="Times New Roman"/>
        </w:rPr>
        <w:t>年，酒体达到酸酯平衡状态，用于标定应用平衡常数的同酒精度白酒样品。</w:t>
      </w:r>
    </w:p>
    <w:p w14:paraId="6BF9A21C">
      <w:pPr>
        <w:pStyle w:val="51"/>
        <w:spacing w:before="156" w:after="156"/>
        <w:rPr>
          <w:rFonts w:ascii="Times New Roman"/>
        </w:rPr>
      </w:pPr>
      <w:bookmarkStart w:id="24" w:name="_Toc227834406"/>
      <w:r>
        <w:rPr>
          <w:rFonts w:ascii="Times New Roman"/>
        </w:rPr>
        <w:t>主体酯 main esters</w:t>
      </w:r>
      <w:bookmarkEnd w:id="24"/>
    </w:p>
    <w:p w14:paraId="62CCEB1B">
      <w:pPr>
        <w:pStyle w:val="154"/>
        <w:rPr>
          <w:rFonts w:ascii="Times New Roman" w:hAnsi="Times New Roman"/>
        </w:rPr>
      </w:pPr>
      <w:r>
        <w:rPr>
          <w:rFonts w:ascii="Times New Roman" w:hAnsi="Times New Roman"/>
        </w:rPr>
        <w:t>在某一香型白酒中含量较高的酯类物质，通常为2～3种。</w:t>
      </w:r>
    </w:p>
    <w:bookmarkEnd w:id="19"/>
    <w:p w14:paraId="6A644A0A">
      <w:pPr>
        <w:pStyle w:val="54"/>
        <w:spacing w:before="312" w:after="312"/>
        <w:rPr>
          <w:rFonts w:ascii="Times New Roman"/>
        </w:rPr>
      </w:pPr>
      <w:bookmarkStart w:id="25" w:name="_Toc17709895"/>
      <w:bookmarkStart w:id="26" w:name="_Toc17470121"/>
      <w:r>
        <w:rPr>
          <w:rFonts w:hint="eastAsia" w:ascii="Times New Roman"/>
        </w:rPr>
        <w:t>原理</w:t>
      </w:r>
    </w:p>
    <w:p w14:paraId="24795CAB">
      <w:pPr>
        <w:pStyle w:val="51"/>
        <w:spacing w:before="156" w:after="156"/>
        <w:rPr>
          <w:rFonts w:ascii="Times New Roman"/>
        </w:rPr>
      </w:pPr>
      <w:r>
        <w:rPr>
          <w:rFonts w:ascii="Times New Roman"/>
        </w:rPr>
        <w:t>热力学基础与系统误差消除</w:t>
      </w:r>
    </w:p>
    <w:p w14:paraId="5EE4C956">
      <w:pPr>
        <w:ind w:firstLine="420" w:firstLineChars="200"/>
      </w:pPr>
      <w:r>
        <w:t>蒸馏过程中，酯的沸点通常低于其对应有机酸的沸点。以乙酸乙酯和乙酸为例：乙酸乙酯的沸点为77℃，而乙酸的沸点为118℃。因此，沸点较低的酯更易挥发并优先进入基酒，导致新蒸馏出的基酒中酯的浓度普遍高于对应酸的浓度（即“酯高酸低”），整体处于偏离平衡的状态。随着陈酿时间的延长，酯化与水解可逆反应逐渐趋向平衡，酯酸比值向平衡常数收敛。</w:t>
      </w:r>
    </w:p>
    <w:p w14:paraId="0A0CD172">
      <w:pPr>
        <w:ind w:firstLine="420" w:firstLineChars="200"/>
      </w:pPr>
      <w:r>
        <w:rPr>
          <w:rFonts w:hint="eastAsia"/>
        </w:rPr>
        <w:t>因此，</w:t>
      </w:r>
      <w:r>
        <w:t>白酒陈酿是酯化与水解可逆反应逐渐趋近热力学平衡的过程。达到平衡时，酯酸浓度比值（简化反应商</w:t>
      </w:r>
      <w:r>
        <w:rPr>
          <w:i/>
          <w:iCs/>
        </w:rPr>
        <w:t>Q</w:t>
      </w:r>
      <w:r>
        <w:t>）趋近于一个恒定值。</w:t>
      </w:r>
    </w:p>
    <w:p w14:paraId="28CBB6CA">
      <w:pPr>
        <w:ind w:firstLine="420" w:firstLineChars="200"/>
      </w:pPr>
      <w:r>
        <w:t>为消除不同气相色谱仪间可能存在的系统误差，本文件引入应用平衡常数（</w:t>
      </w:r>
      <w:r>
        <w:rPr>
          <w:i/>
          <w:iCs/>
        </w:rPr>
        <w:t>K</w:t>
      </w:r>
      <w:r>
        <w:rPr>
          <w:vertAlign w:val="subscript"/>
        </w:rPr>
        <w:t>app</w:t>
      </w:r>
      <w:r>
        <w:t xml:space="preserve">）。各实验室通过自行测定与待测样品同酒精度的标准酒样，获得适用于本实验室仪器条件的 </w:t>
      </w:r>
      <w:r>
        <w:rPr>
          <w:i/>
          <w:iCs/>
        </w:rPr>
        <w:t>K</w:t>
      </w:r>
      <w:r>
        <w:rPr>
          <w:vertAlign w:val="subscript"/>
        </w:rPr>
        <w:t>app</w:t>
      </w:r>
      <w:r>
        <w:t>值。</w:t>
      </w:r>
    </w:p>
    <w:p w14:paraId="2A303BF3">
      <w:pPr>
        <w:pStyle w:val="51"/>
        <w:spacing w:before="156" w:after="156"/>
        <w:rPr>
          <w:rFonts w:ascii="Times New Roman"/>
        </w:rPr>
      </w:pPr>
      <w:r>
        <w:rPr>
          <w:rFonts w:ascii="Times New Roman"/>
        </w:rPr>
        <w:t>最大偏差决定平衡度</w:t>
      </w:r>
    </w:p>
    <w:p w14:paraId="1778A795">
      <w:pPr>
        <w:ind w:firstLine="420" w:firstLineChars="200"/>
      </w:pPr>
      <w:r>
        <w:t>待测酒样中任一主体酯的简化反应商</w:t>
      </w:r>
      <w:r>
        <w:rPr>
          <w:i/>
          <w:iCs/>
        </w:rPr>
        <w:t>Q</w:t>
      </w:r>
      <w:r>
        <w:t>与</w:t>
      </w:r>
      <w:r>
        <w:rPr>
          <w:i/>
          <w:iCs/>
        </w:rPr>
        <w:t>K</w:t>
      </w:r>
      <w:r>
        <w:rPr>
          <w:vertAlign w:val="subscript"/>
        </w:rPr>
        <w:t>app</w:t>
      </w:r>
      <w:r>
        <w:t>的偏差均能反映酒体偏离平衡的程度。考虑到非主体酯浓度低、测定误差较大，本文件仅以主体酯为分析对象。取所有主体酯的 |</w:t>
      </w:r>
      <w:r>
        <w:rPr>
          <w:i/>
          <w:iCs/>
        </w:rPr>
        <w:t>Q</w:t>
      </w:r>
      <w:r>
        <w:t xml:space="preserve"> - </w:t>
      </w:r>
      <w:r>
        <w:rPr>
          <w:i/>
          <w:iCs/>
        </w:rPr>
        <w:t>K</w:t>
      </w:r>
      <w:r>
        <w:rPr>
          <w:vertAlign w:val="subscript"/>
        </w:rPr>
        <w:t>app</w:t>
      </w:r>
      <w:r>
        <w:t>| 偏差中的最大值</w:t>
      </w:r>
      <w:r>
        <w:rPr>
          <w:rFonts w:hint="eastAsia"/>
        </w:rPr>
        <w:t>，</w:t>
      </w:r>
      <w:r>
        <w:t>计算平衡度 </w:t>
      </w:r>
      <w:r>
        <w:rPr>
          <w:rFonts w:hint="eastAsia"/>
          <w:i/>
          <w:iCs/>
        </w:rPr>
        <w:t>B</w:t>
      </w:r>
      <w:r>
        <w:rPr>
          <w:rFonts w:hint="eastAsia"/>
        </w:rPr>
        <w:t xml:space="preserve">。即，该偏差最大值越小，计算所得的 </w:t>
      </w:r>
      <w:r>
        <w:rPr>
          <w:rFonts w:hint="eastAsia"/>
          <w:i/>
          <w:iCs/>
        </w:rPr>
        <w:t>B</w:t>
      </w:r>
      <w:r>
        <w:rPr>
          <w:rFonts w:hint="eastAsia"/>
        </w:rPr>
        <w:t>值越大，</w:t>
      </w:r>
      <w:r>
        <w:t>表明酒体酸酯体系整体越接近平衡状态。</w:t>
      </w:r>
    </w:p>
    <w:p w14:paraId="0AC1AB7D">
      <w:pPr>
        <w:pStyle w:val="51"/>
        <w:spacing w:before="156" w:after="156"/>
        <w:rPr>
          <w:rFonts w:ascii="Times New Roman"/>
        </w:rPr>
      </w:pPr>
      <w:r>
        <w:rPr>
          <w:rFonts w:hint="eastAsia" w:ascii="Times New Roman"/>
        </w:rPr>
        <w:t>功能定位与说明</w:t>
      </w:r>
    </w:p>
    <w:p w14:paraId="42DCA244">
      <w:pPr>
        <w:ind w:firstLine="420" w:firstLineChars="200"/>
      </w:pPr>
      <w:r>
        <w:rPr>
          <w:rFonts w:hint="eastAsia"/>
        </w:rPr>
        <w:t>本文件提供的平衡度</w:t>
      </w:r>
      <w:r>
        <w:rPr>
          <w:rFonts w:hint="eastAsia"/>
          <w:i/>
          <w:iCs/>
        </w:rPr>
        <w:t>B</w:t>
      </w:r>
      <w:r>
        <w:rPr>
          <w:rFonts w:hint="eastAsia"/>
        </w:rPr>
        <w:t>是酒体酸酯平衡程度的客观化学量化指标，可直观反映酒体与平衡状态的相对距离，为白酒陈酿过程的科学研究、工艺优化及品质评价提供参考依据。</w:t>
      </w:r>
    </w:p>
    <w:p w14:paraId="2549EBF6">
      <w:pPr>
        <w:pStyle w:val="54"/>
        <w:spacing w:before="312" w:after="312"/>
        <w:rPr>
          <w:rFonts w:ascii="Times New Roman"/>
        </w:rPr>
      </w:pPr>
      <w:r>
        <w:rPr>
          <w:rFonts w:ascii="Times New Roman"/>
        </w:rPr>
        <w:t>计算方法</w:t>
      </w:r>
    </w:p>
    <w:p w14:paraId="1FEE0D5E">
      <w:pPr>
        <w:pStyle w:val="51"/>
        <w:numPr>
          <w:ilvl w:val="1"/>
          <w:numId w:val="20"/>
        </w:numPr>
        <w:spacing w:before="156" w:after="156"/>
        <w:rPr>
          <w:rFonts w:ascii="Times New Roman"/>
        </w:rPr>
      </w:pPr>
      <w:r>
        <w:rPr>
          <w:rFonts w:ascii="Times New Roman"/>
        </w:rPr>
        <w:t>简化反应商（</w:t>
      </w:r>
      <w:r>
        <w:rPr>
          <w:rFonts w:ascii="Times New Roman"/>
          <w:i/>
          <w:iCs/>
        </w:rPr>
        <w:t>Q</w:t>
      </w:r>
      <w:r>
        <w:rPr>
          <w:rFonts w:ascii="Times New Roman"/>
        </w:rPr>
        <w:t>）的计算</w:t>
      </w:r>
    </w:p>
    <w:p w14:paraId="0A839031">
      <w:pPr>
        <w:ind w:firstLine="420" w:firstLineChars="200"/>
      </w:pPr>
      <w:r>
        <w:t>对于白酒中每一种目标酯类，其简化反应商</w:t>
      </w:r>
      <w:r>
        <w:rPr>
          <w:i/>
          <w:iCs/>
        </w:rPr>
        <w:t>Q</w:t>
      </w:r>
      <w:r>
        <w:rPr>
          <w:i/>
          <w:iCs/>
          <w:vertAlign w:val="subscript"/>
        </w:rPr>
        <w:t>n</w:t>
      </w:r>
      <w:r>
        <w:t>按下式计算：</w:t>
      </w:r>
    </w:p>
    <w:p w14:paraId="743F4E63">
      <m:oMathPara>
        <m:oMath>
          <m:sSub>
            <m:sSubPr>
              <m:ctrlPr>
                <w:rPr>
                  <w:rFonts w:ascii="Cambria Math" w:hAnsi="Cambria Math" w:eastAsiaTheme="minorEastAsia"/>
                  <w:i/>
                  <w:sz w:val="22"/>
                  <w14:ligatures w14:val="standardContextual"/>
                </w:rPr>
              </m:ctrlPr>
            </m:sSubPr>
            <m:e>
              <m:r>
                <m:rPr/>
                <w:rPr>
                  <w:rFonts w:ascii="Cambria Math" w:hAnsi="Cambria Math"/>
                </w:rPr>
                <m:t>Q</m:t>
              </m:r>
              <m:ctrlPr>
                <w:rPr>
                  <w:rFonts w:ascii="Cambria Math" w:hAnsi="Cambria Math" w:eastAsiaTheme="minorEastAsia"/>
                  <w:i/>
                  <w:sz w:val="22"/>
                  <w14:ligatures w14:val="standardContextual"/>
                </w:rPr>
              </m:ctrlPr>
            </m:e>
            <m:sub>
              <m:r>
                <m:rPr/>
                <w:rPr>
                  <w:rFonts w:ascii="Cambria Math" w:hAnsi="Cambria Math"/>
                </w:rPr>
                <m:t>n</m:t>
              </m:r>
              <m:ctrlPr>
                <w:rPr>
                  <w:rFonts w:ascii="Cambria Math" w:hAnsi="Cambria Math" w:eastAsiaTheme="minorEastAsia"/>
                  <w:i/>
                  <w:sz w:val="22"/>
                  <w14:ligatures w14:val="standardContextual"/>
                </w:rPr>
              </m:ctrlPr>
            </m:sub>
          </m:sSub>
          <m:r>
            <m:rPr>
              <m:sty m:val="p"/>
            </m:rPr>
            <w:rPr>
              <w:rFonts w:ascii="Cambria Math" w:hAnsi="Cambria Math" w:eastAsia="Cambria Math"/>
            </w:rPr>
            <m:t>=</m:t>
          </m:r>
          <m:f>
            <m:fPr>
              <m:ctrlPr>
                <w:rPr>
                  <w:rFonts w:ascii="Cambria Math" w:hAnsi="Cambria Math" w:eastAsia="Cambria Math"/>
                </w:rPr>
              </m:ctrlPr>
            </m:fPr>
            <m:num>
              <m:sSub>
                <m:sSubPr>
                  <m:ctrlPr>
                    <w:rPr>
                      <w:rFonts w:ascii="Cambria Math" w:hAnsi="Cambria Math" w:eastAsiaTheme="minorEastAsia"/>
                      <w:i/>
                      <w:sz w:val="22"/>
                      <w14:ligatures w14:val="standardContextual"/>
                    </w:rPr>
                  </m:ctrlPr>
                </m:sSubPr>
                <m:e>
                  <m:r>
                    <m:rPr/>
                    <w:rPr>
                      <w:rFonts w:ascii="Cambria Math" w:hAnsi="Cambria Math"/>
                    </w:rPr>
                    <m:t>c</m:t>
                  </m:r>
                  <m:ctrlPr>
                    <w:rPr>
                      <w:rFonts w:ascii="Cambria Math" w:hAnsi="Cambria Math" w:eastAsiaTheme="minorEastAsia"/>
                      <w:i/>
                      <w:sz w:val="22"/>
                      <w14:ligatures w14:val="standardContextual"/>
                    </w:rPr>
                  </m:ctrlPr>
                </m:e>
                <m:sub>
                  <m:r>
                    <m:rPr>
                      <m:sty m:val="p"/>
                    </m:rPr>
                    <w:rPr>
                      <w:rFonts w:hint="eastAsia" w:ascii="Cambria Math" w:hAnsi="Cambria Math"/>
                    </w:rPr>
                    <m:t>酯，n</m:t>
                  </m:r>
                  <m:ctrlPr>
                    <w:rPr>
                      <w:rFonts w:ascii="Cambria Math" w:hAnsi="Cambria Math" w:eastAsiaTheme="minorEastAsia"/>
                      <w:i/>
                      <w:sz w:val="22"/>
                      <w14:ligatures w14:val="standardContextual"/>
                    </w:rPr>
                  </m:ctrlPr>
                </m:sub>
              </m:sSub>
              <m:ctrlPr>
                <w:rPr>
                  <w:rFonts w:ascii="Cambria Math" w:hAnsi="Cambria Math" w:eastAsia="Cambria Math"/>
                </w:rPr>
              </m:ctrlPr>
            </m:num>
            <m:den>
              <m:sSub>
                <m:sSubPr>
                  <m:ctrlPr>
                    <w:rPr>
                      <w:rFonts w:ascii="Cambria Math" w:hAnsi="Cambria Math" w:eastAsiaTheme="minorEastAsia"/>
                      <w:i/>
                      <w:sz w:val="22"/>
                      <w14:ligatures w14:val="standardContextual"/>
                    </w:rPr>
                  </m:ctrlPr>
                </m:sSubPr>
                <m:e>
                  <m:r>
                    <m:rPr/>
                    <w:rPr>
                      <w:rFonts w:ascii="Cambria Math" w:hAnsi="Cambria Math"/>
                    </w:rPr>
                    <m:t>c</m:t>
                  </m:r>
                  <m:ctrlPr>
                    <w:rPr>
                      <w:rFonts w:ascii="Cambria Math" w:hAnsi="Cambria Math" w:eastAsiaTheme="minorEastAsia"/>
                      <w:i/>
                      <w:sz w:val="22"/>
                      <w14:ligatures w14:val="standardContextual"/>
                    </w:rPr>
                  </m:ctrlPr>
                </m:e>
                <m:sub>
                  <m:r>
                    <m:rPr>
                      <m:sty m:val="p"/>
                    </m:rPr>
                    <w:rPr>
                      <w:rFonts w:hint="eastAsia" w:ascii="Cambria Math" w:hAnsi="Cambria Math"/>
                    </w:rPr>
                    <m:t>酸，n</m:t>
                  </m:r>
                  <m:ctrlPr>
                    <w:rPr>
                      <w:rFonts w:ascii="Cambria Math" w:hAnsi="Cambria Math" w:eastAsiaTheme="minorEastAsia"/>
                      <w:i/>
                      <w:sz w:val="22"/>
                      <w14:ligatures w14:val="standardContextual"/>
                    </w:rPr>
                  </m:ctrlPr>
                </m:sub>
              </m:sSub>
              <m:ctrlPr>
                <w:rPr>
                  <w:rFonts w:ascii="Cambria Math" w:hAnsi="Cambria Math" w:eastAsia="Cambria Math"/>
                </w:rPr>
              </m:ctrlPr>
            </m:den>
          </m:f>
        </m:oMath>
      </m:oMathPara>
    </w:p>
    <w:p w14:paraId="3BAF1AB6">
      <w:pPr>
        <w:keepNext w:val="0"/>
        <w:keepLines w:val="0"/>
        <w:pageBreakBefore w:val="0"/>
        <w:widowControl w:val="0"/>
        <w:kinsoku/>
        <w:wordWrap/>
        <w:overflowPunct/>
        <w:topLinePunct w:val="0"/>
        <w:autoSpaceDE/>
        <w:autoSpaceDN/>
        <w:bidi w:val="0"/>
        <w:adjustRightInd/>
        <w:snapToGrid/>
        <w:ind w:firstLine="420" w:firstLineChars="200"/>
        <w:textAlignment w:val="auto"/>
      </w:pPr>
      <w:r>
        <w:t>式中：</w:t>
      </w:r>
    </w:p>
    <w:p w14:paraId="47A07D93">
      <w:pPr>
        <w:keepNext w:val="0"/>
        <w:keepLines w:val="0"/>
        <w:pageBreakBefore w:val="0"/>
        <w:widowControl w:val="0"/>
        <w:kinsoku/>
        <w:wordWrap/>
        <w:overflowPunct/>
        <w:topLinePunct w:val="0"/>
        <w:autoSpaceDE/>
        <w:autoSpaceDN/>
        <w:bidi w:val="0"/>
        <w:adjustRightInd/>
        <w:snapToGrid/>
        <w:ind w:firstLine="630" w:firstLineChars="300"/>
        <w:textAlignment w:val="auto"/>
      </w:pPr>
      <w:r>
        <w:rPr>
          <w:rFonts w:hint="eastAsia"/>
          <w:i/>
          <w:iCs/>
        </w:rPr>
        <w:t>Q</w:t>
      </w:r>
      <w:r>
        <w:rPr>
          <w:rFonts w:hint="eastAsia"/>
          <w:vertAlign w:val="subscript"/>
        </w:rPr>
        <w:t>n</w:t>
      </w:r>
      <w:r>
        <w:rPr>
          <w:rFonts w:hint="eastAsia"/>
        </w:rPr>
        <w:t>为第n种酯的反应商；</w:t>
      </w:r>
    </w:p>
    <w:p w14:paraId="72FE58D9">
      <w:pPr>
        <w:keepNext w:val="0"/>
        <w:keepLines w:val="0"/>
        <w:pageBreakBefore w:val="0"/>
        <w:widowControl w:val="0"/>
        <w:kinsoku/>
        <w:wordWrap/>
        <w:overflowPunct/>
        <w:topLinePunct w:val="0"/>
        <w:autoSpaceDE/>
        <w:autoSpaceDN/>
        <w:bidi w:val="0"/>
        <w:adjustRightInd/>
        <w:snapToGrid/>
        <w:ind w:firstLine="660" w:firstLineChars="300"/>
        <w:textAlignment w:val="auto"/>
      </w:pPr>
      <m:oMath>
        <m:sSub>
          <m:sSubPr>
            <m:ctrlPr>
              <w:rPr>
                <w:rFonts w:ascii="Cambria Math" w:hAnsi="Cambria Math" w:eastAsiaTheme="minorEastAsia"/>
                <w:i/>
                <w:sz w:val="22"/>
                <w14:ligatures w14:val="standardContextual"/>
              </w:rPr>
            </m:ctrlPr>
          </m:sSubPr>
          <m:e>
            <m:r>
              <m:rPr/>
              <w:rPr>
                <w:rFonts w:ascii="Cambria Math" w:hAnsi="Cambria Math"/>
              </w:rPr>
              <m:t>c</m:t>
            </m:r>
            <m:ctrlPr>
              <w:rPr>
                <w:rFonts w:ascii="Cambria Math" w:hAnsi="Cambria Math" w:eastAsiaTheme="minorEastAsia"/>
                <w:i/>
                <w:sz w:val="22"/>
                <w14:ligatures w14:val="standardContextual"/>
              </w:rPr>
            </m:ctrlPr>
          </m:e>
          <m:sub>
            <m:r>
              <m:rPr>
                <m:sty m:val="p"/>
              </m:rPr>
              <w:rPr>
                <w:rFonts w:hint="eastAsia" w:ascii="Cambria Math" w:hAnsi="Cambria Math"/>
              </w:rPr>
              <m:t>酯，n</m:t>
            </m:r>
            <m:ctrlPr>
              <w:rPr>
                <w:rFonts w:ascii="Cambria Math" w:hAnsi="Cambria Math" w:eastAsiaTheme="minorEastAsia"/>
                <w:i/>
                <w:sz w:val="22"/>
                <w14:ligatures w14:val="standardContextual"/>
              </w:rPr>
            </m:ctrlPr>
          </m:sub>
        </m:sSub>
      </m:oMath>
      <w:r>
        <w:t> 为第n种酯的浓度（单位：mg/L）；</w:t>
      </w:r>
    </w:p>
    <w:p w14:paraId="22A384FB">
      <w:pPr>
        <w:keepNext w:val="0"/>
        <w:keepLines w:val="0"/>
        <w:pageBreakBefore w:val="0"/>
        <w:widowControl w:val="0"/>
        <w:kinsoku/>
        <w:wordWrap/>
        <w:overflowPunct/>
        <w:topLinePunct w:val="0"/>
        <w:autoSpaceDE/>
        <w:autoSpaceDN/>
        <w:bidi w:val="0"/>
        <w:adjustRightInd/>
        <w:snapToGrid/>
        <w:ind w:firstLine="630" w:firstLineChars="300"/>
        <w:textAlignment w:val="auto"/>
      </w:pPr>
      <w:r>
        <w:t> </w:t>
      </w:r>
      <m:oMath>
        <m:sSub>
          <m:sSubPr>
            <m:ctrlPr>
              <w:rPr>
                <w:rFonts w:ascii="Cambria Math" w:hAnsi="Cambria Math" w:eastAsiaTheme="minorEastAsia"/>
                <w:i/>
                <w:sz w:val="22"/>
                <w14:ligatures w14:val="standardContextual"/>
              </w:rPr>
            </m:ctrlPr>
          </m:sSubPr>
          <m:e>
            <m:r>
              <m:rPr/>
              <w:rPr>
                <w:rFonts w:ascii="Cambria Math" w:hAnsi="Cambria Math"/>
              </w:rPr>
              <m:t>c</m:t>
            </m:r>
            <m:ctrlPr>
              <w:rPr>
                <w:rFonts w:ascii="Cambria Math" w:hAnsi="Cambria Math" w:eastAsiaTheme="minorEastAsia"/>
                <w:i/>
                <w:sz w:val="22"/>
                <w14:ligatures w14:val="standardContextual"/>
              </w:rPr>
            </m:ctrlPr>
          </m:e>
          <m:sub>
            <m:r>
              <m:rPr>
                <m:sty m:val="p"/>
              </m:rPr>
              <w:rPr>
                <w:rFonts w:hint="eastAsia" w:ascii="Cambria Math" w:hAnsi="Cambria Math"/>
              </w:rPr>
              <m:t>酸，n</m:t>
            </m:r>
            <m:ctrlPr>
              <w:rPr>
                <w:rFonts w:ascii="Cambria Math" w:hAnsi="Cambria Math" w:eastAsiaTheme="minorEastAsia"/>
                <w:i/>
                <w:sz w:val="22"/>
                <w14:ligatures w14:val="standardContextual"/>
              </w:rPr>
            </m:ctrlPr>
          </m:sub>
        </m:sSub>
      </m:oMath>
      <w:r>
        <w:t>为第n种酯对应有机酸的浓度（单位：mg/L）。</w:t>
      </w:r>
    </w:p>
    <w:p w14:paraId="7631464E">
      <w:pPr>
        <w:keepNext w:val="0"/>
        <w:keepLines w:val="0"/>
        <w:pageBreakBefore w:val="0"/>
        <w:widowControl w:val="0"/>
        <w:kinsoku/>
        <w:wordWrap/>
        <w:overflowPunct/>
        <w:topLinePunct w:val="0"/>
        <w:autoSpaceDE/>
        <w:autoSpaceDN/>
        <w:bidi w:val="0"/>
        <w:adjustRightInd/>
        <w:snapToGrid/>
        <w:ind w:firstLine="630" w:firstLineChars="300"/>
        <w:textAlignment w:val="auto"/>
      </w:pPr>
      <w:r>
        <w:rPr>
          <w:rFonts w:hint="eastAsia"/>
        </w:rPr>
        <w:t>注：酯和酸的浓度的单位，也可采取其他质量浓度单位，二者保持一致即可。</w:t>
      </w:r>
    </w:p>
    <w:p w14:paraId="5B631638">
      <w:pPr>
        <w:pStyle w:val="51"/>
        <w:numPr>
          <w:ilvl w:val="1"/>
          <w:numId w:val="20"/>
        </w:numPr>
        <w:spacing w:before="156" w:after="156"/>
        <w:rPr>
          <w:rFonts w:ascii="Times New Roman"/>
        </w:rPr>
      </w:pPr>
      <w:r>
        <w:rPr>
          <w:rFonts w:ascii="Times New Roman"/>
        </w:rPr>
        <w:t>应用平衡常数（Kapp）的确定</w:t>
      </w:r>
    </w:p>
    <w:p w14:paraId="0358542A">
      <w:pPr>
        <w:spacing w:after="160"/>
        <w:ind w:firstLine="420" w:firstLineChars="200"/>
        <w:rPr>
          <w:color w:val="auto"/>
        </w:rPr>
      </w:pPr>
      <w:r>
        <w:t xml:space="preserve">各实验室在首次使用本文件方法或色谱系统发生变更时，应按下述步骤测定并建立适用于本实验室的 </w:t>
      </w:r>
      <w:r>
        <w:rPr>
          <w:i/>
          <w:iCs/>
        </w:rPr>
        <w:t>K</w:t>
      </w:r>
      <w:r>
        <w:rPr>
          <w:vertAlign w:val="subscript"/>
        </w:rPr>
        <w:t>app</w:t>
      </w:r>
      <w:r>
        <w:t xml:space="preserve"> </w:t>
      </w:r>
      <w:r>
        <w:rPr>
          <w:color w:val="auto"/>
        </w:rPr>
        <w:t>值：</w:t>
      </w:r>
    </w:p>
    <w:p w14:paraId="6EA17F5C">
      <w:pPr>
        <w:spacing w:after="160"/>
        <w:ind w:firstLine="420" w:firstLineChars="200"/>
        <w:rPr>
          <w:color w:val="auto"/>
        </w:rPr>
      </w:pPr>
      <w:r>
        <w:rPr>
          <w:color w:val="auto"/>
        </w:rPr>
        <w:t>a) 选择标准酒样：选取与待测样品同酒精度的</w:t>
      </w:r>
      <w:r>
        <w:rPr>
          <w:rFonts w:hint="eastAsia"/>
          <w:color w:val="auto"/>
        </w:rPr>
        <w:t>密闭玻璃</w:t>
      </w:r>
      <w:r>
        <w:rPr>
          <w:color w:val="auto"/>
        </w:rPr>
        <w:t>瓶储不少于15年的白酒作为标准酒样</w:t>
      </w:r>
      <w:r>
        <w:rPr>
          <w:rFonts w:hint="eastAsia"/>
          <w:color w:val="auto"/>
        </w:rPr>
        <w:t>，</w:t>
      </w:r>
      <w:r>
        <w:rPr>
          <w:color w:val="auto"/>
        </w:rPr>
        <w:t>不限定生产企业</w:t>
      </w:r>
      <w:r>
        <w:rPr>
          <w:rFonts w:hint="eastAsia"/>
          <w:color w:val="auto"/>
        </w:rPr>
        <w:t>。标准酒样与待测样品的酒精度允许差值为±1.0%vol</w:t>
      </w:r>
      <w:r>
        <w:rPr>
          <w:color w:val="auto"/>
        </w:rPr>
        <w:t>。标准酒样的酒体应未经过任何外源添加。</w:t>
      </w:r>
    </w:p>
    <w:p w14:paraId="449FDDCA">
      <w:pPr>
        <w:spacing w:after="160"/>
        <w:ind w:firstLine="420" w:firstLineChars="200"/>
      </w:pPr>
      <w:r>
        <w:t>b) 测定浓度：测定标准酒样中各主体酯及其对应有机酸的浓度，平行测定3次，取平均值。</w:t>
      </w:r>
    </w:p>
    <w:p w14:paraId="440C617A">
      <w:pPr>
        <w:spacing w:after="160"/>
        <w:ind w:firstLine="420" w:firstLineChars="200"/>
      </w:pPr>
      <w:r>
        <w:t xml:space="preserve">c) 计算 </w:t>
      </w:r>
      <w:r>
        <w:rPr>
          <w:i/>
          <w:iCs/>
        </w:rPr>
        <w:t>K</w:t>
      </w:r>
      <w:r>
        <w:rPr>
          <w:vertAlign w:val="subscript"/>
        </w:rPr>
        <w:t>app</w:t>
      </w:r>
      <w:r>
        <w:t xml:space="preserve">：对每一种主体酯 i，按下式计算其 </w:t>
      </w:r>
      <w:r>
        <w:rPr>
          <w:i/>
          <w:iCs/>
        </w:rPr>
        <w:t>K</w:t>
      </w:r>
      <w:r>
        <w:rPr>
          <w:vertAlign w:val="subscript"/>
        </w:rPr>
        <w:t>app,i</w:t>
      </w:r>
      <w:r>
        <w:t xml:space="preserve"> 值：</w:t>
      </w:r>
    </w:p>
    <w:p w14:paraId="2A047005">
      <w:pPr>
        <w:spacing w:after="160"/>
        <w:ind w:firstLine="420" w:firstLineChars="200"/>
        <w:rPr>
          <w:i/>
        </w:rPr>
      </w:pPr>
      <w:r>
        <w:rPr>
          <w:i/>
        </w:rPr>
        <w:t>K</w:t>
      </w:r>
      <w:r>
        <w:rPr>
          <w:iCs/>
          <w:vertAlign w:val="subscript"/>
        </w:rPr>
        <w:t>app,i</w:t>
      </w:r>
      <w:r>
        <w:rPr>
          <w:i/>
        </w:rPr>
        <w:t xml:space="preserve"> = </w:t>
      </w:r>
      <m:oMath>
        <m:sSub>
          <m:sSubPr>
            <m:ctrlPr>
              <w:rPr>
                <w:rFonts w:ascii="Cambria Math" w:hAnsi="Cambria Math" w:eastAsiaTheme="minorEastAsia"/>
                <w:i/>
                <w:sz w:val="22"/>
                <w14:ligatures w14:val="standardContextual"/>
              </w:rPr>
            </m:ctrlPr>
          </m:sSubPr>
          <m:e>
            <m:r>
              <m:rPr/>
              <w:rPr>
                <w:rFonts w:ascii="Cambria Math" w:hAnsi="Cambria Math"/>
              </w:rPr>
              <m:t>c</m:t>
            </m:r>
            <m:ctrlPr>
              <w:rPr>
                <w:rFonts w:ascii="Cambria Math" w:hAnsi="Cambria Math" w:eastAsiaTheme="minorEastAsia"/>
                <w:i/>
                <w:sz w:val="22"/>
                <w14:ligatures w14:val="standardContextual"/>
              </w:rPr>
            </m:ctrlPr>
          </m:e>
          <m:sub>
            <m:r>
              <m:rPr>
                <m:sty m:val="p"/>
              </m:rPr>
              <w:rPr>
                <w:rFonts w:hint="eastAsia" w:ascii="Cambria Math" w:hAnsi="Cambria Math"/>
              </w:rPr>
              <m:t>标准，i</m:t>
            </m:r>
            <m:ctrlPr>
              <w:rPr>
                <w:rFonts w:ascii="Cambria Math" w:hAnsi="Cambria Math" w:eastAsiaTheme="minorEastAsia"/>
                <w:i/>
                <w:sz w:val="22"/>
                <w14:ligatures w14:val="standardContextual"/>
              </w:rPr>
            </m:ctrlPr>
          </m:sub>
        </m:sSub>
      </m:oMath>
      <w:r>
        <w:t> </w:t>
      </w:r>
      <w:r>
        <w:rPr>
          <w:iCs/>
        </w:rPr>
        <w:t xml:space="preserve">/ </w:t>
      </w:r>
      <m:oMath>
        <m:sSub>
          <m:sSubPr>
            <m:ctrlPr>
              <w:rPr>
                <w:rFonts w:ascii="Cambria Math" w:hAnsi="Cambria Math" w:eastAsiaTheme="minorEastAsia"/>
                <w:i/>
                <w:sz w:val="22"/>
                <w14:ligatures w14:val="standardContextual"/>
              </w:rPr>
            </m:ctrlPr>
          </m:sSubPr>
          <m:e>
            <m:r>
              <m:rPr/>
              <w:rPr>
                <w:rFonts w:ascii="Cambria Math" w:hAnsi="Cambria Math"/>
              </w:rPr>
              <m:t>c</m:t>
            </m:r>
            <m:ctrlPr>
              <w:rPr>
                <w:rFonts w:ascii="Cambria Math" w:hAnsi="Cambria Math" w:eastAsiaTheme="minorEastAsia"/>
                <w:i/>
                <w:sz w:val="22"/>
                <w14:ligatures w14:val="standardContextual"/>
              </w:rPr>
            </m:ctrlPr>
          </m:e>
          <m:sub>
            <m:r>
              <m:rPr>
                <m:sty m:val="p"/>
              </m:rPr>
              <w:rPr>
                <w:rFonts w:hint="eastAsia" w:ascii="Cambria Math" w:hAnsi="Cambria Math"/>
              </w:rPr>
              <m:t>标准，</m:t>
            </m:r>
            <m:r>
              <m:rPr>
                <m:sty m:val="p"/>
              </m:rPr>
              <w:rPr>
                <w:rFonts w:ascii="Cambria Math" w:hAnsi="Cambria Math"/>
              </w:rPr>
              <m:t>j</m:t>
            </m:r>
            <m:ctrlPr>
              <w:rPr>
                <w:rFonts w:ascii="Cambria Math" w:hAnsi="Cambria Math" w:eastAsiaTheme="minorEastAsia"/>
                <w:i/>
                <w:sz w:val="22"/>
                <w14:ligatures w14:val="standardContextual"/>
              </w:rPr>
            </m:ctrlPr>
          </m:sub>
        </m:sSub>
      </m:oMath>
      <w:r>
        <w:t> </w:t>
      </w:r>
    </w:p>
    <w:p w14:paraId="074A3C79">
      <w:pPr>
        <w:spacing w:after="160"/>
        <w:ind w:firstLine="420" w:firstLineChars="200"/>
      </w:pPr>
      <w:r>
        <w:t>式中：</w:t>
      </w:r>
    </w:p>
    <w:p w14:paraId="45FE9A77">
      <w:pPr>
        <w:spacing w:after="160"/>
        <w:ind w:firstLine="440" w:firstLineChars="200"/>
      </w:pPr>
      <m:oMath>
        <m:sSub>
          <m:sSubPr>
            <m:ctrlPr>
              <w:rPr>
                <w:rFonts w:ascii="Cambria Math" w:hAnsi="Cambria Math" w:eastAsiaTheme="minorEastAsia"/>
                <w:i/>
                <w:sz w:val="22"/>
                <w14:ligatures w14:val="standardContextual"/>
              </w:rPr>
            </m:ctrlPr>
          </m:sSubPr>
          <m:e>
            <m:r>
              <m:rPr/>
              <w:rPr>
                <w:rFonts w:ascii="Cambria Math" w:hAnsi="Cambria Math"/>
              </w:rPr>
              <m:t>c</m:t>
            </m:r>
            <m:ctrlPr>
              <w:rPr>
                <w:rFonts w:ascii="Cambria Math" w:hAnsi="Cambria Math" w:eastAsiaTheme="minorEastAsia"/>
                <w:i/>
                <w:sz w:val="22"/>
                <w14:ligatures w14:val="standardContextual"/>
              </w:rPr>
            </m:ctrlPr>
          </m:e>
          <m:sub>
            <m:r>
              <m:rPr>
                <m:sty m:val="p"/>
              </m:rPr>
              <w:rPr>
                <w:rFonts w:hint="eastAsia" w:ascii="Cambria Math" w:hAnsi="Cambria Math"/>
              </w:rPr>
              <m:t>标准，i</m:t>
            </m:r>
            <m:ctrlPr>
              <w:rPr>
                <w:rFonts w:ascii="Cambria Math" w:hAnsi="Cambria Math" w:eastAsiaTheme="minorEastAsia"/>
                <w:i/>
                <w:sz w:val="22"/>
                <w14:ligatures w14:val="standardContextual"/>
              </w:rPr>
            </m:ctrlPr>
          </m:sub>
        </m:sSub>
      </m:oMath>
      <w:r>
        <w:t>— 标准酒样中第 i 种主体酯的实测浓度</w:t>
      </w:r>
      <w:r>
        <w:rPr>
          <w:rFonts w:hint="eastAsia"/>
        </w:rPr>
        <w:t>的平均值</w:t>
      </w:r>
      <w:r>
        <w:t>，单位为毫克每升（mg/L）；</w:t>
      </w:r>
    </w:p>
    <w:p w14:paraId="53789D06">
      <w:pPr>
        <w:spacing w:after="160"/>
        <w:ind w:firstLine="440" w:firstLineChars="200"/>
      </w:pPr>
      <m:oMath>
        <m:sSub>
          <m:sSubPr>
            <m:ctrlPr>
              <w:rPr>
                <w:rFonts w:ascii="Cambria Math" w:hAnsi="Cambria Math" w:eastAsiaTheme="minorEastAsia"/>
                <w:i/>
                <w:sz w:val="22"/>
                <w14:ligatures w14:val="standardContextual"/>
              </w:rPr>
            </m:ctrlPr>
          </m:sSubPr>
          <m:e>
            <m:r>
              <m:rPr/>
              <w:rPr>
                <w:rFonts w:ascii="Cambria Math" w:hAnsi="Cambria Math"/>
              </w:rPr>
              <m:t>c</m:t>
            </m:r>
            <m:ctrlPr>
              <w:rPr>
                <w:rFonts w:ascii="Cambria Math" w:hAnsi="Cambria Math" w:eastAsiaTheme="minorEastAsia"/>
                <w:i/>
                <w:sz w:val="22"/>
                <w14:ligatures w14:val="standardContextual"/>
              </w:rPr>
            </m:ctrlPr>
          </m:e>
          <m:sub>
            <m:r>
              <m:rPr>
                <m:sty m:val="p"/>
              </m:rPr>
              <w:rPr>
                <w:rFonts w:hint="eastAsia" w:ascii="Cambria Math" w:hAnsi="Cambria Math"/>
              </w:rPr>
              <m:t>标准，</m:t>
            </m:r>
            <m:r>
              <m:rPr>
                <m:sty m:val="p"/>
              </m:rPr>
              <w:rPr>
                <w:rFonts w:ascii="Cambria Math" w:hAnsi="Cambria Math"/>
              </w:rPr>
              <m:t>j</m:t>
            </m:r>
            <m:ctrlPr>
              <w:rPr>
                <w:rFonts w:ascii="Cambria Math" w:hAnsi="Cambria Math" w:eastAsiaTheme="minorEastAsia"/>
                <w:i/>
                <w:sz w:val="22"/>
                <w14:ligatures w14:val="standardContextual"/>
              </w:rPr>
            </m:ctrlPr>
          </m:sub>
        </m:sSub>
      </m:oMath>
      <w:r>
        <w:t>— 标准酒样中第 i 种主体酯对应有机酸的实测浓度</w:t>
      </w:r>
      <w:r>
        <w:rPr>
          <w:rFonts w:hint="eastAsia"/>
        </w:rPr>
        <w:t>的平均值</w:t>
      </w:r>
      <w:r>
        <w:t>，单位为毫克每升（mg/L）。</w:t>
      </w:r>
    </w:p>
    <w:p w14:paraId="552CC832">
      <w:pPr>
        <w:spacing w:after="160"/>
        <w:ind w:firstLine="420" w:firstLineChars="200"/>
      </w:pPr>
      <w:r>
        <w:rPr>
          <w:rFonts w:hint="eastAsia"/>
        </w:rPr>
        <w:t>注：酯和酸的浓度的单位，也可采取其他质量浓度单位，二者保持一致即可。</w:t>
      </w:r>
    </w:p>
    <w:p w14:paraId="3208F7E9">
      <w:pPr>
        <w:pStyle w:val="51"/>
        <w:spacing w:before="156" w:after="156"/>
        <w:rPr>
          <w:rFonts w:ascii="Times New Roman"/>
        </w:rPr>
      </w:pPr>
      <w:r>
        <w:rPr>
          <w:rFonts w:hint="eastAsia" w:ascii="Times New Roman"/>
        </w:rPr>
        <w:t>平衡度</w:t>
      </w:r>
      <w:r>
        <w:rPr>
          <w:rFonts w:hint="eastAsia" w:ascii="Times New Roman"/>
          <w:i/>
          <w:iCs/>
        </w:rPr>
        <w:t>B</w:t>
      </w:r>
      <w:r>
        <w:rPr>
          <w:rFonts w:ascii="Times New Roman"/>
        </w:rPr>
        <w:t>的计算</w:t>
      </w:r>
    </w:p>
    <w:p w14:paraId="1D1B8601">
      <w:pPr>
        <w:ind w:firstLine="420" w:firstLineChars="200"/>
      </w:pPr>
      <w:r>
        <w:rPr>
          <w:rFonts w:hint="eastAsia"/>
        </w:rPr>
        <w:t>平衡度</w:t>
      </w:r>
      <w:r>
        <w:rPr>
          <w:rFonts w:hint="eastAsia"/>
          <w:i/>
          <w:iCs/>
        </w:rPr>
        <w:t>B</w:t>
      </w:r>
      <w:r>
        <w:t>按下式计算：</w:t>
      </w:r>
    </w:p>
    <w:p w14:paraId="43F09E78">
      <w:pPr>
        <w:spacing w:after="160"/>
        <w:ind w:firstLine="420" w:firstLineChars="200"/>
        <w:jc w:val="center"/>
        <w:rPr>
          <w:i/>
        </w:rPr>
      </w:pPr>
      <w:r>
        <w:rPr>
          <w:rFonts w:hint="eastAsia"/>
          <w:i/>
        </w:rPr>
        <w:t>B</w:t>
      </w:r>
      <w:r>
        <w:rPr>
          <w:i/>
        </w:rPr>
        <w:t xml:space="preserve"> =</w:t>
      </w:r>
      <w:r>
        <w:rPr>
          <w:iCs/>
        </w:rPr>
        <w:t>1</w:t>
      </w:r>
      <w:r>
        <w:rPr>
          <w:rFonts w:hint="eastAsia"/>
          <w:iCs/>
        </w:rPr>
        <w:t>-</w:t>
      </w:r>
      <w:r>
        <w:rPr>
          <w:rFonts w:hint="eastAsia"/>
          <w:i/>
        </w:rPr>
        <w:t xml:space="preserve"> </w:t>
      </w:r>
      <w:r>
        <w:rPr>
          <w:iCs/>
        </w:rPr>
        <w:t>max(</w:t>
      </w:r>
      <m:oMath>
        <m:f>
          <m:fPr>
            <m:ctrlPr>
              <w:rPr>
                <w:rFonts w:ascii="Cambria Math" w:hAnsi="Cambria Math" w:eastAsia="Cambria Math"/>
              </w:rPr>
            </m:ctrlPr>
          </m:fPr>
          <m:num>
            <m:r>
              <m:rPr/>
              <w:rPr>
                <w:rFonts w:ascii="Cambria Math" w:hAnsi="Cambria Math"/>
              </w:rPr>
              <m:t>|</m:t>
            </m:r>
            <m:sSub>
              <m:sSubPr>
                <m:ctrlPr>
                  <w:rPr>
                    <w:rFonts w:ascii="Cambria Math" w:hAnsi="Cambria Math"/>
                    <w:i/>
                    <w:vertAlign w:val="subscript"/>
                  </w:rPr>
                </m:ctrlPr>
              </m:sSubPr>
              <m:e>
                <m:r>
                  <m:rPr/>
                  <w:rPr>
                    <w:rFonts w:ascii="Cambria Math" w:hAnsi="Cambria Math"/>
                    <w:vertAlign w:val="subscript"/>
                  </w:rPr>
                  <m:t>Q</m:t>
                </m:r>
                <m:ctrlPr>
                  <w:rPr>
                    <w:rFonts w:ascii="Cambria Math" w:hAnsi="Cambria Math"/>
                    <w:i/>
                    <w:vertAlign w:val="subscript"/>
                  </w:rPr>
                </m:ctrlPr>
              </m:e>
              <m:sub>
                <m:r>
                  <m:rPr/>
                  <w:rPr>
                    <w:rFonts w:ascii="Cambria Math" w:hAnsi="Cambria Math"/>
                    <w:vertAlign w:val="subscript"/>
                  </w:rPr>
                  <m:t>1</m:t>
                </m:r>
                <m:ctrlPr>
                  <w:rPr>
                    <w:rFonts w:ascii="Cambria Math" w:hAnsi="Cambria Math"/>
                    <w:i/>
                    <w:vertAlign w:val="subscript"/>
                  </w:rPr>
                </m:ctrlPr>
              </m:sub>
            </m:sSub>
            <m:r>
              <m:rPr/>
              <w:rPr>
                <w:rFonts w:ascii="Cambria Math" w:hAnsi="Cambria Math"/>
              </w:rPr>
              <m:t xml:space="preserve"> − </m:t>
            </m:r>
            <m:sSub>
              <m:sSubPr>
                <m:ctrlPr>
                  <w:rPr>
                    <w:rFonts w:ascii="Cambria Math" w:hAnsi="Cambria Math"/>
                    <w:i/>
                    <w:vertAlign w:val="subscript"/>
                  </w:rPr>
                </m:ctrlPr>
              </m:sSubPr>
              <m:e>
                <m:r>
                  <m:rPr/>
                  <w:rPr>
                    <w:rFonts w:ascii="Cambria Math" w:hAnsi="Cambria Math"/>
                    <w:vertAlign w:val="subscript"/>
                  </w:rPr>
                  <m:t>K</m:t>
                </m:r>
                <m:ctrlPr>
                  <w:rPr>
                    <w:rFonts w:ascii="Cambria Math" w:hAnsi="Cambria Math"/>
                    <w:i/>
                    <w:vertAlign w:val="subscript"/>
                  </w:rPr>
                </m:ctrlPr>
              </m:e>
              <m:sub>
                <m:r>
                  <m:rPr>
                    <m:sty m:val="p"/>
                  </m:rPr>
                  <w:rPr>
                    <w:rFonts w:ascii="Cambria Math" w:hAnsi="Cambria Math"/>
                    <w:vertAlign w:val="subscript"/>
                  </w:rPr>
                  <m:t>app,1</m:t>
                </m:r>
                <m:ctrlPr>
                  <w:rPr>
                    <w:rFonts w:ascii="Cambria Math" w:hAnsi="Cambria Math"/>
                    <w:i/>
                    <w:vertAlign w:val="subscript"/>
                  </w:rPr>
                </m:ctrlPr>
              </m:sub>
            </m:sSub>
            <m:r>
              <m:rPr/>
              <w:rPr>
                <w:rFonts w:ascii="Cambria Math" w:hAnsi="Cambria Math"/>
              </w:rPr>
              <m:t>|</m:t>
            </m:r>
            <m:ctrlPr>
              <w:rPr>
                <w:rFonts w:ascii="Cambria Math" w:hAnsi="Cambria Math" w:eastAsia="Cambria Math"/>
              </w:rPr>
            </m:ctrlPr>
          </m:num>
          <m:den>
            <m:sSub>
              <m:sSubPr>
                <m:ctrlPr>
                  <w:rPr>
                    <w:rFonts w:ascii="Cambria Math" w:hAnsi="Cambria Math"/>
                    <w:i/>
                    <w:vertAlign w:val="subscript"/>
                  </w:rPr>
                </m:ctrlPr>
              </m:sSubPr>
              <m:e>
                <m:r>
                  <m:rPr/>
                  <w:rPr>
                    <w:rFonts w:ascii="Cambria Math" w:hAnsi="Cambria Math"/>
                    <w:vertAlign w:val="subscript"/>
                  </w:rPr>
                  <m:t>K</m:t>
                </m:r>
                <m:ctrlPr>
                  <w:rPr>
                    <w:rFonts w:ascii="Cambria Math" w:hAnsi="Cambria Math"/>
                    <w:i/>
                    <w:vertAlign w:val="subscript"/>
                  </w:rPr>
                </m:ctrlPr>
              </m:e>
              <m:sub>
                <m:r>
                  <m:rPr>
                    <m:sty m:val="p"/>
                  </m:rPr>
                  <w:rPr>
                    <w:rFonts w:ascii="Cambria Math" w:hAnsi="Cambria Math"/>
                    <w:vertAlign w:val="subscript"/>
                  </w:rPr>
                  <m:t>app,1</m:t>
                </m:r>
                <m:ctrlPr>
                  <w:rPr>
                    <w:rFonts w:ascii="Cambria Math" w:hAnsi="Cambria Math"/>
                    <w:i/>
                    <w:vertAlign w:val="subscript"/>
                  </w:rPr>
                </m:ctrlPr>
              </m:sub>
            </m:sSub>
            <m:ctrlPr>
              <w:rPr>
                <w:rFonts w:ascii="Cambria Math" w:hAnsi="Cambria Math" w:eastAsia="Cambria Math"/>
              </w:rPr>
            </m:ctrlPr>
          </m:den>
        </m:f>
      </m:oMath>
      <w:r>
        <w:rPr>
          <w:rFonts w:hint="eastAsia"/>
          <w:iCs/>
        </w:rPr>
        <w:t>,</w:t>
      </w:r>
      <w:r>
        <w:rPr>
          <w:rFonts w:hint="eastAsia"/>
          <w:i/>
        </w:rPr>
        <w:t xml:space="preserve"> </w:t>
      </w:r>
      <m:oMath>
        <m:f>
          <m:fPr>
            <m:ctrlPr>
              <w:rPr>
                <w:rFonts w:ascii="Cambria Math" w:hAnsi="Cambria Math" w:eastAsia="Cambria Math"/>
              </w:rPr>
            </m:ctrlPr>
          </m:fPr>
          <m:num>
            <m:r>
              <m:rPr/>
              <w:rPr>
                <w:rFonts w:ascii="Cambria Math" w:hAnsi="Cambria Math"/>
              </w:rPr>
              <m:t>|</m:t>
            </m:r>
            <m:sSub>
              <m:sSubPr>
                <m:ctrlPr>
                  <w:rPr>
                    <w:rFonts w:ascii="Cambria Math" w:hAnsi="Cambria Math"/>
                    <w:i/>
                    <w:vertAlign w:val="subscript"/>
                  </w:rPr>
                </m:ctrlPr>
              </m:sSubPr>
              <m:e>
                <m:r>
                  <m:rPr/>
                  <w:rPr>
                    <w:rFonts w:ascii="Cambria Math" w:hAnsi="Cambria Math"/>
                    <w:vertAlign w:val="subscript"/>
                  </w:rPr>
                  <m:t>Q</m:t>
                </m:r>
                <m:ctrlPr>
                  <w:rPr>
                    <w:rFonts w:ascii="Cambria Math" w:hAnsi="Cambria Math"/>
                    <w:i/>
                    <w:vertAlign w:val="subscript"/>
                  </w:rPr>
                </m:ctrlPr>
              </m:e>
              <m:sub>
                <m:r>
                  <m:rPr/>
                  <w:rPr>
                    <w:rFonts w:ascii="Cambria Math" w:hAnsi="Cambria Math"/>
                    <w:vertAlign w:val="subscript"/>
                  </w:rPr>
                  <m:t>2</m:t>
                </m:r>
                <m:ctrlPr>
                  <w:rPr>
                    <w:rFonts w:ascii="Cambria Math" w:hAnsi="Cambria Math"/>
                    <w:i/>
                    <w:vertAlign w:val="subscript"/>
                  </w:rPr>
                </m:ctrlPr>
              </m:sub>
            </m:sSub>
            <m:r>
              <m:rPr/>
              <w:rPr>
                <w:rFonts w:ascii="Cambria Math" w:hAnsi="Cambria Math"/>
              </w:rPr>
              <m:t xml:space="preserve"> − </m:t>
            </m:r>
            <m:sSub>
              <m:sSubPr>
                <m:ctrlPr>
                  <w:rPr>
                    <w:rFonts w:ascii="Cambria Math" w:hAnsi="Cambria Math"/>
                    <w:i/>
                    <w:vertAlign w:val="subscript"/>
                  </w:rPr>
                </m:ctrlPr>
              </m:sSubPr>
              <m:e>
                <m:r>
                  <m:rPr/>
                  <w:rPr>
                    <w:rFonts w:ascii="Cambria Math" w:hAnsi="Cambria Math"/>
                    <w:vertAlign w:val="subscript"/>
                  </w:rPr>
                  <m:t>K</m:t>
                </m:r>
                <m:ctrlPr>
                  <w:rPr>
                    <w:rFonts w:ascii="Cambria Math" w:hAnsi="Cambria Math"/>
                    <w:i/>
                    <w:vertAlign w:val="subscript"/>
                  </w:rPr>
                </m:ctrlPr>
              </m:e>
              <m:sub>
                <m:r>
                  <m:rPr>
                    <m:sty m:val="p"/>
                  </m:rPr>
                  <w:rPr>
                    <w:rFonts w:ascii="Cambria Math" w:hAnsi="Cambria Math"/>
                    <w:vertAlign w:val="subscript"/>
                  </w:rPr>
                  <m:t>app,2</m:t>
                </m:r>
                <m:ctrlPr>
                  <w:rPr>
                    <w:rFonts w:ascii="Cambria Math" w:hAnsi="Cambria Math"/>
                    <w:i/>
                    <w:vertAlign w:val="subscript"/>
                  </w:rPr>
                </m:ctrlPr>
              </m:sub>
            </m:sSub>
            <m:r>
              <m:rPr/>
              <w:rPr>
                <w:rFonts w:ascii="Cambria Math" w:hAnsi="Cambria Math"/>
              </w:rPr>
              <m:t>|</m:t>
            </m:r>
            <m:ctrlPr>
              <w:rPr>
                <w:rFonts w:ascii="Cambria Math" w:hAnsi="Cambria Math" w:eastAsia="Cambria Math"/>
              </w:rPr>
            </m:ctrlPr>
          </m:num>
          <m:den>
            <m:sSub>
              <m:sSubPr>
                <m:ctrlPr>
                  <w:rPr>
                    <w:rFonts w:ascii="Cambria Math" w:hAnsi="Cambria Math"/>
                    <w:i/>
                    <w:vertAlign w:val="subscript"/>
                  </w:rPr>
                </m:ctrlPr>
              </m:sSubPr>
              <m:e>
                <m:r>
                  <m:rPr/>
                  <w:rPr>
                    <w:rFonts w:ascii="Cambria Math" w:hAnsi="Cambria Math"/>
                    <w:vertAlign w:val="subscript"/>
                  </w:rPr>
                  <m:t>K</m:t>
                </m:r>
                <m:ctrlPr>
                  <w:rPr>
                    <w:rFonts w:ascii="Cambria Math" w:hAnsi="Cambria Math"/>
                    <w:i/>
                    <w:vertAlign w:val="subscript"/>
                  </w:rPr>
                </m:ctrlPr>
              </m:e>
              <m:sub>
                <m:r>
                  <m:rPr>
                    <m:sty m:val="p"/>
                  </m:rPr>
                  <w:rPr>
                    <w:rFonts w:ascii="Cambria Math" w:hAnsi="Cambria Math"/>
                    <w:vertAlign w:val="subscript"/>
                  </w:rPr>
                  <m:t>app,2</m:t>
                </m:r>
                <m:ctrlPr>
                  <w:rPr>
                    <w:rFonts w:ascii="Cambria Math" w:hAnsi="Cambria Math"/>
                    <w:i/>
                    <w:vertAlign w:val="subscript"/>
                  </w:rPr>
                </m:ctrlPr>
              </m:sub>
            </m:sSub>
            <m:ctrlPr>
              <w:rPr>
                <w:rFonts w:ascii="Cambria Math" w:hAnsi="Cambria Math" w:eastAsia="Cambria Math"/>
              </w:rPr>
            </m:ctrlPr>
          </m:den>
        </m:f>
      </m:oMath>
      <w:r>
        <w:rPr>
          <w:rFonts w:hint="eastAsia"/>
          <w:iCs/>
        </w:rPr>
        <w:t>,</w:t>
      </w:r>
      <w:r>
        <w:rPr>
          <w:iCs/>
        </w:rPr>
        <w:t>…</w:t>
      </w:r>
      <w:r>
        <w:rPr>
          <w:rFonts w:hint="eastAsia"/>
          <w:iCs/>
        </w:rPr>
        <w:t>,</w:t>
      </w:r>
      <w:r>
        <w:rPr>
          <w:rFonts w:ascii="Cambria Math" w:hAnsi="Cambria Math" w:eastAsia="Cambria Math"/>
        </w:rPr>
        <w:t xml:space="preserve"> </w:t>
      </w:r>
      <m:oMath>
        <m:f>
          <m:fPr>
            <m:ctrlPr>
              <w:rPr>
                <w:rFonts w:ascii="Cambria Math" w:hAnsi="Cambria Math" w:eastAsia="Cambria Math"/>
              </w:rPr>
            </m:ctrlPr>
          </m:fPr>
          <m:num>
            <m:r>
              <m:rPr/>
              <w:rPr>
                <w:rFonts w:ascii="Cambria Math" w:hAnsi="Cambria Math"/>
              </w:rPr>
              <m:t>|</m:t>
            </m:r>
            <m:sSub>
              <m:sSubPr>
                <m:ctrlPr>
                  <w:rPr>
                    <w:rFonts w:ascii="Cambria Math" w:hAnsi="Cambria Math"/>
                    <w:i/>
                    <w:vertAlign w:val="subscript"/>
                  </w:rPr>
                </m:ctrlPr>
              </m:sSubPr>
              <m:e>
                <m:r>
                  <m:rPr/>
                  <w:rPr>
                    <w:rFonts w:ascii="Cambria Math" w:hAnsi="Cambria Math"/>
                    <w:vertAlign w:val="subscript"/>
                  </w:rPr>
                  <m:t>Q</m:t>
                </m:r>
                <m:ctrlPr>
                  <w:rPr>
                    <w:rFonts w:ascii="Cambria Math" w:hAnsi="Cambria Math"/>
                    <w:i/>
                    <w:vertAlign w:val="subscript"/>
                  </w:rPr>
                </m:ctrlPr>
              </m:e>
              <m:sub>
                <m:r>
                  <m:rPr>
                    <m:sty m:val="p"/>
                  </m:rPr>
                  <w:rPr>
                    <w:rFonts w:ascii="Cambria Math" w:hAnsi="Cambria Math"/>
                    <w:vertAlign w:val="subscript"/>
                  </w:rPr>
                  <m:t>i</m:t>
                </m:r>
                <m:ctrlPr>
                  <w:rPr>
                    <w:rFonts w:ascii="Cambria Math" w:hAnsi="Cambria Math"/>
                    <w:i/>
                    <w:vertAlign w:val="subscript"/>
                  </w:rPr>
                </m:ctrlPr>
              </m:sub>
            </m:sSub>
            <m:r>
              <m:rPr/>
              <w:rPr>
                <w:rFonts w:ascii="Cambria Math" w:hAnsi="Cambria Math"/>
              </w:rPr>
              <m:t xml:space="preserve"> − </m:t>
            </m:r>
            <m:sSub>
              <m:sSubPr>
                <m:ctrlPr>
                  <w:rPr>
                    <w:rFonts w:ascii="Cambria Math" w:hAnsi="Cambria Math"/>
                    <w:i/>
                    <w:vertAlign w:val="subscript"/>
                  </w:rPr>
                </m:ctrlPr>
              </m:sSubPr>
              <m:e>
                <m:r>
                  <m:rPr/>
                  <w:rPr>
                    <w:rFonts w:ascii="Cambria Math" w:hAnsi="Cambria Math"/>
                    <w:vertAlign w:val="subscript"/>
                  </w:rPr>
                  <m:t>K</m:t>
                </m:r>
                <m:ctrlPr>
                  <w:rPr>
                    <w:rFonts w:ascii="Cambria Math" w:hAnsi="Cambria Math"/>
                    <w:i/>
                    <w:vertAlign w:val="subscript"/>
                  </w:rPr>
                </m:ctrlPr>
              </m:e>
              <m:sub>
                <m:r>
                  <m:rPr>
                    <m:sty m:val="p"/>
                  </m:rPr>
                  <w:rPr>
                    <w:rFonts w:ascii="Cambria Math" w:hAnsi="Cambria Math"/>
                    <w:vertAlign w:val="subscript"/>
                  </w:rPr>
                  <m:t>app,i</m:t>
                </m:r>
                <m:ctrlPr>
                  <w:rPr>
                    <w:rFonts w:ascii="Cambria Math" w:hAnsi="Cambria Math"/>
                    <w:i/>
                    <w:vertAlign w:val="subscript"/>
                  </w:rPr>
                </m:ctrlPr>
              </m:sub>
            </m:sSub>
            <m:r>
              <m:rPr/>
              <w:rPr>
                <w:rFonts w:ascii="Cambria Math" w:hAnsi="Cambria Math"/>
              </w:rPr>
              <m:t>|</m:t>
            </m:r>
            <m:ctrlPr>
              <w:rPr>
                <w:rFonts w:ascii="Cambria Math" w:hAnsi="Cambria Math" w:eastAsia="Cambria Math"/>
              </w:rPr>
            </m:ctrlPr>
          </m:num>
          <m:den>
            <m:sSub>
              <m:sSubPr>
                <m:ctrlPr>
                  <w:rPr>
                    <w:rFonts w:ascii="Cambria Math" w:hAnsi="Cambria Math"/>
                    <w:i/>
                    <w:vertAlign w:val="subscript"/>
                  </w:rPr>
                </m:ctrlPr>
              </m:sSubPr>
              <m:e>
                <m:r>
                  <m:rPr/>
                  <w:rPr>
                    <w:rFonts w:ascii="Cambria Math" w:hAnsi="Cambria Math"/>
                    <w:vertAlign w:val="subscript"/>
                  </w:rPr>
                  <m:t>K</m:t>
                </m:r>
                <m:ctrlPr>
                  <w:rPr>
                    <w:rFonts w:ascii="Cambria Math" w:hAnsi="Cambria Math"/>
                    <w:i/>
                    <w:vertAlign w:val="subscript"/>
                  </w:rPr>
                </m:ctrlPr>
              </m:e>
              <m:sub>
                <m:r>
                  <m:rPr>
                    <m:sty m:val="p"/>
                  </m:rPr>
                  <w:rPr>
                    <w:rFonts w:ascii="Cambria Math" w:hAnsi="Cambria Math"/>
                    <w:vertAlign w:val="subscript"/>
                  </w:rPr>
                  <m:t>app,i</m:t>
                </m:r>
                <m:ctrlPr>
                  <w:rPr>
                    <w:rFonts w:ascii="Cambria Math" w:hAnsi="Cambria Math"/>
                    <w:i/>
                    <w:vertAlign w:val="subscript"/>
                  </w:rPr>
                </m:ctrlPr>
              </m:sub>
            </m:sSub>
            <m:ctrlPr>
              <w:rPr>
                <w:rFonts w:ascii="Cambria Math" w:hAnsi="Cambria Math" w:eastAsia="Cambria Math"/>
              </w:rPr>
            </m:ctrlPr>
          </m:den>
        </m:f>
      </m:oMath>
      <w:r>
        <w:rPr>
          <w:iCs/>
        </w:rPr>
        <w:t>)</w:t>
      </w:r>
    </w:p>
    <w:p w14:paraId="00FC2DBA">
      <w:pPr>
        <w:spacing w:after="160"/>
        <w:ind w:firstLine="420" w:firstLineChars="200"/>
      </w:pPr>
      <w:r>
        <w:t>式中：</w:t>
      </w:r>
    </w:p>
    <w:p w14:paraId="6572DAA9">
      <w:pPr>
        <w:spacing w:after="160"/>
        <w:ind w:firstLine="630" w:firstLineChars="300"/>
      </w:pPr>
      <w:r>
        <w:rPr>
          <w:rFonts w:hint="eastAsia"/>
        </w:rPr>
        <w:t xml:space="preserve">max </w:t>
      </w:r>
      <w:r>
        <w:t>—</w:t>
      </w:r>
      <w:r>
        <w:rPr>
          <w:rFonts w:hint="eastAsia"/>
        </w:rPr>
        <w:t xml:space="preserve"> 取括号中若干个数值</w:t>
      </w:r>
      <w:r>
        <w:t>中的最大值；</w:t>
      </w:r>
    </w:p>
    <w:p w14:paraId="023B780A">
      <w:pPr>
        <w:spacing w:after="160"/>
        <w:ind w:firstLine="630" w:firstLineChars="300"/>
      </w:pPr>
      <w:r>
        <w:rPr>
          <w:i/>
          <w:iCs/>
        </w:rPr>
        <w:t>Q</w:t>
      </w:r>
      <w:r>
        <w:rPr>
          <w:vertAlign w:val="subscript"/>
        </w:rPr>
        <w:t>i</w:t>
      </w:r>
      <w:r>
        <w:rPr>
          <w:i/>
          <w:iCs/>
        </w:rPr>
        <w:t xml:space="preserve"> </w:t>
      </w:r>
      <w:r>
        <w:t>— 第 i 种主体酯的简化反应商；</w:t>
      </w:r>
    </w:p>
    <w:p w14:paraId="3E78D320">
      <w:pPr>
        <w:spacing w:after="160"/>
        <w:ind w:firstLine="630" w:firstLineChars="300"/>
      </w:pPr>
      <w:r>
        <w:rPr>
          <w:i/>
          <w:iCs/>
        </w:rPr>
        <w:t>K</w:t>
      </w:r>
      <w:r>
        <w:rPr>
          <w:vertAlign w:val="subscript"/>
        </w:rPr>
        <w:t>app,i</w:t>
      </w:r>
      <w:r>
        <w:rPr>
          <w:i/>
          <w:iCs/>
          <w:vertAlign w:val="subscript"/>
        </w:rPr>
        <w:t xml:space="preserve"> </w:t>
      </w:r>
      <w:r>
        <w:t>— 第 i 种主体酯在相应酒精度下的应用平衡常数；</w:t>
      </w:r>
    </w:p>
    <w:p w14:paraId="3C485502">
      <w:pPr>
        <w:spacing w:after="160"/>
        <w:ind w:firstLine="630" w:firstLineChars="300"/>
      </w:pPr>
      <w:r>
        <w:t>注1：当酒体完全平衡时，所有</w:t>
      </w:r>
      <w:r>
        <w:rPr>
          <w:i/>
          <w:iCs/>
        </w:rPr>
        <w:t>Q</w:t>
      </w:r>
      <w:r>
        <w:rPr>
          <w:vertAlign w:val="subscript"/>
        </w:rPr>
        <w:t>i</w:t>
      </w:r>
      <w:r>
        <w:rPr>
          <w:rFonts w:hint="eastAsia"/>
        </w:rPr>
        <w:t xml:space="preserve"> =</w:t>
      </w:r>
      <w:r>
        <w:rPr>
          <w:i/>
          <w:iCs/>
        </w:rPr>
        <w:t xml:space="preserve"> K</w:t>
      </w:r>
      <w:r>
        <w:rPr>
          <w:vertAlign w:val="subscript"/>
        </w:rPr>
        <w:t>app,i</w:t>
      </w:r>
      <w:r>
        <w:rPr>
          <w:rFonts w:hint="eastAsia"/>
        </w:rPr>
        <w:t>,则</w:t>
      </w:r>
      <w:r>
        <w:rPr>
          <w:rFonts w:hint="eastAsia"/>
          <w:i/>
          <w:iCs/>
        </w:rPr>
        <w:t>B</w:t>
      </w:r>
      <w:r>
        <w:rPr>
          <w:rFonts w:hint="eastAsia"/>
        </w:rPr>
        <w:t>=100%。</w:t>
      </w:r>
    </w:p>
    <w:p w14:paraId="3DF20B2A">
      <w:pPr>
        <w:spacing w:after="160"/>
        <w:ind w:firstLine="630" w:firstLineChars="300"/>
      </w:pPr>
      <w:r>
        <w:rPr>
          <w:rFonts w:hint="eastAsia"/>
        </w:rPr>
        <w:t>注2：若计算得到的</w:t>
      </w:r>
      <w:r>
        <w:rPr>
          <w:rFonts w:hint="eastAsia"/>
          <w:i/>
          <w:iCs/>
        </w:rPr>
        <w:t>B</w:t>
      </w:r>
      <w:r>
        <w:rPr>
          <w:rFonts w:hint="eastAsia"/>
        </w:rPr>
        <w:t>值为负值，表示酒体严重偏离平衡，报告为0%。</w:t>
      </w:r>
    </w:p>
    <w:p w14:paraId="09A31125">
      <w:pPr>
        <w:pStyle w:val="54"/>
        <w:spacing w:before="312" w:after="312"/>
        <w:rPr>
          <w:rFonts w:ascii="Times New Roman"/>
        </w:rPr>
      </w:pPr>
      <w:r>
        <w:rPr>
          <w:rFonts w:ascii="Times New Roman"/>
        </w:rPr>
        <w:t>评定方法</w:t>
      </w:r>
    </w:p>
    <w:p w14:paraId="4FD56579">
      <w:pPr>
        <w:pStyle w:val="51"/>
        <w:spacing w:before="156" w:after="156"/>
        <w:rPr>
          <w:rFonts w:ascii="Times New Roman"/>
        </w:rPr>
      </w:pPr>
      <w:r>
        <w:rPr>
          <w:rFonts w:ascii="Times New Roman"/>
        </w:rPr>
        <w:t>样品准备</w:t>
      </w:r>
    </w:p>
    <w:p w14:paraId="48A2B32A">
      <w:pPr>
        <w:spacing w:after="160" w:line="278" w:lineRule="auto"/>
        <w:ind w:firstLine="420" w:firstLineChars="200"/>
      </w:pPr>
      <w:r>
        <w:t>取待测白酒样品及标准酒样各100 mL，于常温（20℃～25℃）下静置平衡后进行分析。</w:t>
      </w:r>
    </w:p>
    <w:p w14:paraId="24C034CA">
      <w:pPr>
        <w:pStyle w:val="51"/>
        <w:spacing w:before="156" w:after="156"/>
        <w:rPr>
          <w:rFonts w:ascii="Times New Roman"/>
        </w:rPr>
      </w:pPr>
      <w:r>
        <w:rPr>
          <w:rFonts w:ascii="Times New Roman"/>
        </w:rPr>
        <w:t>主体酯的选择</w:t>
      </w:r>
    </w:p>
    <w:p w14:paraId="7CB5FDC0">
      <w:pPr>
        <w:spacing w:after="160" w:line="278" w:lineRule="auto"/>
        <w:ind w:firstLine="420" w:firstLineChars="200"/>
      </w:pPr>
      <w:r>
        <w:t>根据白酒香型选择其主体酯进行检测，推荐如下：</w:t>
      </w:r>
    </w:p>
    <w:p w14:paraId="6CD49CD1">
      <w:pPr>
        <w:pStyle w:val="181"/>
        <w:numPr>
          <w:ilvl w:val="0"/>
          <w:numId w:val="21"/>
        </w:numPr>
        <w:spacing w:before="156" w:after="156"/>
        <w:rPr>
          <w:rFonts w:ascii="Times New Roman"/>
        </w:rPr>
      </w:pPr>
      <w:r>
        <w:rPr>
          <w:rFonts w:hint="eastAsia" w:ascii="Times New Roman"/>
        </w:rPr>
        <w:t>各香型白酒的主体酯</w:t>
      </w:r>
    </w:p>
    <w:tbl>
      <w:tblPr>
        <w:tblStyle w:val="3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624"/>
        <w:gridCol w:w="7045"/>
        <w:gridCol w:w="665"/>
      </w:tblGrid>
      <w:tr w14:paraId="726272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870" w:type="pct"/>
            <w:tcBorders>
              <w:top w:val="single" w:color="auto" w:sz="8" w:space="0"/>
              <w:bottom w:val="single" w:color="auto" w:sz="8" w:space="0"/>
            </w:tcBorders>
          </w:tcPr>
          <w:p w14:paraId="3390F7AF">
            <w:pPr>
              <w:pStyle w:val="182"/>
              <w:rPr>
                <w:rFonts w:ascii="Times New Roman" w:hAnsi="Times New Roman"/>
                <w:szCs w:val="18"/>
              </w:rPr>
            </w:pPr>
            <w:r>
              <w:rPr>
                <w:rFonts w:hint="eastAsia"/>
                <w:szCs w:val="18"/>
              </w:rPr>
              <w:t>香型</w:t>
            </w:r>
          </w:p>
        </w:tc>
        <w:tc>
          <w:tcPr>
            <w:tcW w:w="3774" w:type="pct"/>
            <w:tcBorders>
              <w:top w:val="single" w:color="auto" w:sz="8" w:space="0"/>
              <w:bottom w:val="single" w:color="auto" w:sz="8" w:space="0"/>
            </w:tcBorders>
          </w:tcPr>
          <w:p w14:paraId="5B7AD4DB">
            <w:pPr>
              <w:pStyle w:val="182"/>
              <w:rPr>
                <w:rFonts w:ascii="Times New Roman" w:hAnsi="Times New Roman"/>
                <w:szCs w:val="18"/>
              </w:rPr>
            </w:pPr>
            <w:r>
              <w:rPr>
                <w:rFonts w:hint="eastAsia"/>
                <w:szCs w:val="18"/>
              </w:rPr>
              <w:t>主体酯</w:t>
            </w:r>
          </w:p>
        </w:tc>
        <w:tc>
          <w:tcPr>
            <w:tcW w:w="356" w:type="pct"/>
            <w:tcBorders>
              <w:top w:val="single" w:color="auto" w:sz="8" w:space="0"/>
              <w:bottom w:val="single" w:color="auto" w:sz="8" w:space="0"/>
            </w:tcBorders>
          </w:tcPr>
          <w:p w14:paraId="1244BF10">
            <w:pPr>
              <w:pStyle w:val="182"/>
              <w:rPr>
                <w:rFonts w:ascii="Times New Roman" w:hAnsi="Times New Roman"/>
                <w:szCs w:val="18"/>
              </w:rPr>
            </w:pPr>
            <w:r>
              <w:rPr>
                <w:rFonts w:hint="eastAsia"/>
                <w:szCs w:val="18"/>
              </w:rPr>
              <w:t>个数</w:t>
            </w:r>
          </w:p>
        </w:tc>
      </w:tr>
      <w:tr w14:paraId="4D1EB1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70" w:type="pct"/>
            <w:tcBorders>
              <w:top w:val="single" w:color="auto" w:sz="8" w:space="0"/>
            </w:tcBorders>
          </w:tcPr>
          <w:p w14:paraId="45D7051C">
            <w:pPr>
              <w:pStyle w:val="182"/>
              <w:rPr>
                <w:rFonts w:ascii="Times New Roman" w:hAnsi="Times New Roman"/>
                <w:szCs w:val="18"/>
              </w:rPr>
            </w:pPr>
            <w:r>
              <w:rPr>
                <w:rFonts w:hint="eastAsia"/>
                <w:szCs w:val="18"/>
              </w:rPr>
              <w:t>浓香型</w:t>
            </w:r>
          </w:p>
        </w:tc>
        <w:tc>
          <w:tcPr>
            <w:tcW w:w="3774" w:type="pct"/>
            <w:tcBorders>
              <w:top w:val="single" w:color="auto" w:sz="8" w:space="0"/>
            </w:tcBorders>
          </w:tcPr>
          <w:p w14:paraId="64EBD31E">
            <w:pPr>
              <w:pStyle w:val="182"/>
              <w:rPr>
                <w:rFonts w:ascii="Times New Roman" w:hAnsi="Times New Roman"/>
                <w:szCs w:val="18"/>
              </w:rPr>
            </w:pPr>
            <w:r>
              <w:rPr>
                <w:rFonts w:hint="eastAsia"/>
                <w:szCs w:val="18"/>
              </w:rPr>
              <w:t>己酸乙酯、乙酸乙酯、乳酸乙酯</w:t>
            </w:r>
          </w:p>
        </w:tc>
        <w:tc>
          <w:tcPr>
            <w:tcW w:w="356" w:type="pct"/>
            <w:tcBorders>
              <w:top w:val="single" w:color="auto" w:sz="8" w:space="0"/>
            </w:tcBorders>
          </w:tcPr>
          <w:p w14:paraId="460F1ED5">
            <w:pPr>
              <w:pStyle w:val="182"/>
              <w:rPr>
                <w:rFonts w:ascii="Times New Roman" w:hAnsi="Times New Roman"/>
                <w:szCs w:val="18"/>
              </w:rPr>
            </w:pPr>
            <w:r>
              <w:rPr>
                <w:rFonts w:hint="eastAsia"/>
                <w:szCs w:val="18"/>
              </w:rPr>
              <w:t>3</w:t>
            </w:r>
          </w:p>
        </w:tc>
      </w:tr>
      <w:tr w14:paraId="6A49F9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70" w:type="pct"/>
          </w:tcPr>
          <w:p w14:paraId="2D9289E5">
            <w:pPr>
              <w:pStyle w:val="182"/>
              <w:rPr>
                <w:rFonts w:ascii="Times New Roman" w:hAnsi="Times New Roman"/>
                <w:szCs w:val="18"/>
              </w:rPr>
            </w:pPr>
            <w:r>
              <w:rPr>
                <w:rFonts w:hint="eastAsia"/>
                <w:szCs w:val="18"/>
              </w:rPr>
              <w:t>酱香型</w:t>
            </w:r>
          </w:p>
        </w:tc>
        <w:tc>
          <w:tcPr>
            <w:tcW w:w="3774" w:type="pct"/>
          </w:tcPr>
          <w:p w14:paraId="69C0E670">
            <w:pPr>
              <w:pStyle w:val="182"/>
              <w:rPr>
                <w:rFonts w:ascii="Times New Roman" w:hAnsi="Times New Roman"/>
                <w:szCs w:val="18"/>
              </w:rPr>
            </w:pPr>
            <w:r>
              <w:rPr>
                <w:rFonts w:hint="eastAsia"/>
                <w:szCs w:val="18"/>
              </w:rPr>
              <w:t>乙酸乙酯、乳酸乙酯</w:t>
            </w:r>
          </w:p>
        </w:tc>
        <w:tc>
          <w:tcPr>
            <w:tcW w:w="356" w:type="pct"/>
          </w:tcPr>
          <w:p w14:paraId="28554522">
            <w:pPr>
              <w:pStyle w:val="182"/>
              <w:rPr>
                <w:rFonts w:ascii="Times New Roman" w:hAnsi="Times New Roman"/>
                <w:szCs w:val="18"/>
              </w:rPr>
            </w:pPr>
            <w:r>
              <w:rPr>
                <w:rFonts w:hint="eastAsia"/>
                <w:szCs w:val="18"/>
              </w:rPr>
              <w:t>2</w:t>
            </w:r>
          </w:p>
        </w:tc>
      </w:tr>
      <w:tr w14:paraId="4C78E5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70" w:type="pct"/>
          </w:tcPr>
          <w:p w14:paraId="32E811CE">
            <w:pPr>
              <w:pStyle w:val="182"/>
              <w:rPr>
                <w:rFonts w:ascii="Times New Roman" w:hAnsi="Times New Roman"/>
                <w:szCs w:val="18"/>
              </w:rPr>
            </w:pPr>
            <w:r>
              <w:rPr>
                <w:rFonts w:hint="eastAsia"/>
                <w:szCs w:val="18"/>
              </w:rPr>
              <w:t>清香型</w:t>
            </w:r>
          </w:p>
        </w:tc>
        <w:tc>
          <w:tcPr>
            <w:tcW w:w="3774" w:type="pct"/>
          </w:tcPr>
          <w:p w14:paraId="0BFFCE00">
            <w:pPr>
              <w:pStyle w:val="182"/>
              <w:rPr>
                <w:rFonts w:ascii="Times New Roman" w:hAnsi="Times New Roman"/>
                <w:szCs w:val="18"/>
              </w:rPr>
            </w:pPr>
            <w:r>
              <w:rPr>
                <w:rFonts w:hint="eastAsia"/>
                <w:szCs w:val="18"/>
              </w:rPr>
              <w:t>乙酸乙酯、乳酸乙酯</w:t>
            </w:r>
          </w:p>
        </w:tc>
        <w:tc>
          <w:tcPr>
            <w:tcW w:w="356" w:type="pct"/>
          </w:tcPr>
          <w:p w14:paraId="6F8E9862">
            <w:pPr>
              <w:pStyle w:val="182"/>
              <w:rPr>
                <w:rFonts w:ascii="Times New Roman" w:hAnsi="Times New Roman"/>
                <w:szCs w:val="18"/>
              </w:rPr>
            </w:pPr>
            <w:r>
              <w:rPr>
                <w:rFonts w:hint="eastAsia"/>
                <w:szCs w:val="18"/>
              </w:rPr>
              <w:t>2</w:t>
            </w:r>
          </w:p>
        </w:tc>
      </w:tr>
      <w:tr w14:paraId="06FD25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70" w:type="pct"/>
          </w:tcPr>
          <w:p w14:paraId="54FFDFFB">
            <w:pPr>
              <w:pStyle w:val="182"/>
              <w:rPr>
                <w:rFonts w:ascii="Times New Roman" w:hAnsi="Times New Roman"/>
                <w:szCs w:val="18"/>
              </w:rPr>
            </w:pPr>
            <w:r>
              <w:rPr>
                <w:rFonts w:hint="eastAsia"/>
                <w:szCs w:val="18"/>
              </w:rPr>
              <w:t>米香型</w:t>
            </w:r>
          </w:p>
        </w:tc>
        <w:tc>
          <w:tcPr>
            <w:tcW w:w="3774" w:type="pct"/>
          </w:tcPr>
          <w:p w14:paraId="77407333">
            <w:pPr>
              <w:pStyle w:val="182"/>
              <w:rPr>
                <w:rFonts w:ascii="Times New Roman" w:hAnsi="Times New Roman"/>
                <w:szCs w:val="18"/>
              </w:rPr>
            </w:pPr>
            <w:r>
              <w:rPr>
                <w:rFonts w:hint="eastAsia"/>
                <w:szCs w:val="18"/>
              </w:rPr>
              <w:t>乙酸乙酯、乳酸乙酯</w:t>
            </w:r>
          </w:p>
        </w:tc>
        <w:tc>
          <w:tcPr>
            <w:tcW w:w="356" w:type="pct"/>
          </w:tcPr>
          <w:p w14:paraId="7E90759E">
            <w:pPr>
              <w:pStyle w:val="182"/>
              <w:rPr>
                <w:rFonts w:hint="eastAsia"/>
                <w:szCs w:val="18"/>
              </w:rPr>
            </w:pPr>
            <w:r>
              <w:rPr>
                <w:rFonts w:hint="eastAsia"/>
                <w:szCs w:val="18"/>
              </w:rPr>
              <w:t>2</w:t>
            </w:r>
          </w:p>
        </w:tc>
      </w:tr>
      <w:tr w14:paraId="2AEEAC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70" w:type="pct"/>
          </w:tcPr>
          <w:p w14:paraId="3898AB36">
            <w:pPr>
              <w:pStyle w:val="182"/>
              <w:rPr>
                <w:rFonts w:ascii="Times New Roman" w:hAnsi="Times New Roman"/>
                <w:szCs w:val="18"/>
              </w:rPr>
            </w:pPr>
            <w:r>
              <w:rPr>
                <w:rFonts w:hint="eastAsia"/>
                <w:szCs w:val="18"/>
              </w:rPr>
              <w:t>凤香型</w:t>
            </w:r>
          </w:p>
        </w:tc>
        <w:tc>
          <w:tcPr>
            <w:tcW w:w="3774" w:type="pct"/>
          </w:tcPr>
          <w:p w14:paraId="53ED12C7">
            <w:pPr>
              <w:pStyle w:val="182"/>
              <w:rPr>
                <w:rFonts w:ascii="Times New Roman" w:hAnsi="Times New Roman"/>
                <w:szCs w:val="18"/>
              </w:rPr>
            </w:pPr>
            <w:r>
              <w:rPr>
                <w:color w:val="auto"/>
                <w:szCs w:val="18"/>
              </w:rPr>
              <w:t>乙酸乙酯、乳酸乙酯、己酸乙酯</w:t>
            </w:r>
          </w:p>
        </w:tc>
        <w:tc>
          <w:tcPr>
            <w:tcW w:w="356" w:type="pct"/>
          </w:tcPr>
          <w:p w14:paraId="48F6462B">
            <w:pPr>
              <w:pStyle w:val="182"/>
              <w:rPr>
                <w:rFonts w:hint="eastAsia"/>
                <w:szCs w:val="18"/>
              </w:rPr>
            </w:pPr>
            <w:r>
              <w:rPr>
                <w:rFonts w:hint="eastAsia"/>
                <w:color w:val="EE0000"/>
                <w:szCs w:val="18"/>
              </w:rPr>
              <w:t>3</w:t>
            </w:r>
          </w:p>
        </w:tc>
      </w:tr>
      <w:tr w14:paraId="2BA4F8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70" w:type="pct"/>
          </w:tcPr>
          <w:p w14:paraId="2156AC2C">
            <w:pPr>
              <w:pStyle w:val="182"/>
              <w:rPr>
                <w:rFonts w:ascii="Times New Roman" w:hAnsi="Times New Roman"/>
                <w:szCs w:val="18"/>
              </w:rPr>
            </w:pPr>
            <w:r>
              <w:rPr>
                <w:rFonts w:hint="eastAsia"/>
                <w:szCs w:val="18"/>
              </w:rPr>
              <w:t>兼香型</w:t>
            </w:r>
          </w:p>
        </w:tc>
        <w:tc>
          <w:tcPr>
            <w:tcW w:w="3774" w:type="pct"/>
          </w:tcPr>
          <w:p w14:paraId="1517E5A9">
            <w:pPr>
              <w:pStyle w:val="182"/>
              <w:rPr>
                <w:rFonts w:ascii="Times New Roman" w:hAnsi="Times New Roman"/>
                <w:szCs w:val="18"/>
              </w:rPr>
            </w:pPr>
            <w:r>
              <w:rPr>
                <w:rFonts w:hint="eastAsia"/>
                <w:szCs w:val="18"/>
              </w:rPr>
              <w:t>己酸乙酯、乙酸乙酯</w:t>
            </w:r>
          </w:p>
        </w:tc>
        <w:tc>
          <w:tcPr>
            <w:tcW w:w="356" w:type="pct"/>
          </w:tcPr>
          <w:p w14:paraId="50D2376C">
            <w:pPr>
              <w:pStyle w:val="182"/>
              <w:rPr>
                <w:rFonts w:hint="eastAsia"/>
                <w:szCs w:val="18"/>
              </w:rPr>
            </w:pPr>
            <w:r>
              <w:rPr>
                <w:rFonts w:hint="eastAsia"/>
                <w:szCs w:val="18"/>
              </w:rPr>
              <w:t>2</w:t>
            </w:r>
          </w:p>
        </w:tc>
      </w:tr>
      <w:tr w14:paraId="7733A0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70" w:type="pct"/>
          </w:tcPr>
          <w:p w14:paraId="72DC929E">
            <w:pPr>
              <w:pStyle w:val="182"/>
              <w:rPr>
                <w:rFonts w:hint="eastAsia"/>
                <w:szCs w:val="18"/>
              </w:rPr>
            </w:pPr>
            <w:r>
              <w:rPr>
                <w:rFonts w:hint="eastAsia"/>
                <w:szCs w:val="18"/>
              </w:rPr>
              <w:t>芝麻香型</w:t>
            </w:r>
          </w:p>
        </w:tc>
        <w:tc>
          <w:tcPr>
            <w:tcW w:w="3774" w:type="pct"/>
          </w:tcPr>
          <w:p w14:paraId="12F1A9BE">
            <w:pPr>
              <w:pStyle w:val="182"/>
              <w:rPr>
                <w:rFonts w:hint="eastAsia"/>
                <w:szCs w:val="18"/>
              </w:rPr>
            </w:pPr>
            <w:r>
              <w:rPr>
                <w:rFonts w:hint="eastAsia"/>
                <w:szCs w:val="18"/>
              </w:rPr>
              <w:t>己酸乙酯、乳酸乙酯、乙酸乙酯</w:t>
            </w:r>
          </w:p>
        </w:tc>
        <w:tc>
          <w:tcPr>
            <w:tcW w:w="356" w:type="pct"/>
          </w:tcPr>
          <w:p w14:paraId="5C0998B1">
            <w:pPr>
              <w:pStyle w:val="182"/>
              <w:rPr>
                <w:rFonts w:hint="eastAsia"/>
                <w:szCs w:val="18"/>
              </w:rPr>
            </w:pPr>
            <w:r>
              <w:rPr>
                <w:rFonts w:hint="eastAsia"/>
                <w:szCs w:val="18"/>
              </w:rPr>
              <w:t>3</w:t>
            </w:r>
          </w:p>
        </w:tc>
      </w:tr>
      <w:tr w14:paraId="12B129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70" w:type="pct"/>
          </w:tcPr>
          <w:p w14:paraId="12AAFFE1">
            <w:pPr>
              <w:pStyle w:val="182"/>
              <w:rPr>
                <w:rFonts w:hint="eastAsia"/>
                <w:szCs w:val="18"/>
              </w:rPr>
            </w:pPr>
            <w:r>
              <w:rPr>
                <w:rFonts w:hint="eastAsia"/>
                <w:szCs w:val="18"/>
              </w:rPr>
              <w:t>老白干香型</w:t>
            </w:r>
          </w:p>
        </w:tc>
        <w:tc>
          <w:tcPr>
            <w:tcW w:w="3774" w:type="pct"/>
          </w:tcPr>
          <w:p w14:paraId="452726A4">
            <w:pPr>
              <w:pStyle w:val="182"/>
              <w:rPr>
                <w:rFonts w:hint="eastAsia"/>
                <w:szCs w:val="18"/>
              </w:rPr>
            </w:pPr>
            <w:r>
              <w:rPr>
                <w:rFonts w:hint="eastAsia"/>
                <w:szCs w:val="18"/>
              </w:rPr>
              <w:t>乳酸乙酯、乙酸乙酯</w:t>
            </w:r>
          </w:p>
        </w:tc>
        <w:tc>
          <w:tcPr>
            <w:tcW w:w="356" w:type="pct"/>
          </w:tcPr>
          <w:p w14:paraId="0A023B7F">
            <w:pPr>
              <w:pStyle w:val="182"/>
              <w:rPr>
                <w:rFonts w:hint="eastAsia"/>
                <w:szCs w:val="18"/>
              </w:rPr>
            </w:pPr>
            <w:r>
              <w:rPr>
                <w:rFonts w:hint="eastAsia"/>
                <w:szCs w:val="18"/>
              </w:rPr>
              <w:t>2</w:t>
            </w:r>
          </w:p>
        </w:tc>
      </w:tr>
      <w:tr w14:paraId="1B2FCD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70" w:type="pct"/>
          </w:tcPr>
          <w:p w14:paraId="318E9CC7">
            <w:pPr>
              <w:pStyle w:val="182"/>
              <w:rPr>
                <w:rFonts w:hint="eastAsia"/>
                <w:szCs w:val="18"/>
              </w:rPr>
            </w:pPr>
            <w:r>
              <w:rPr>
                <w:rFonts w:hint="eastAsia"/>
                <w:szCs w:val="18"/>
              </w:rPr>
              <w:t>馥郁香型</w:t>
            </w:r>
          </w:p>
        </w:tc>
        <w:tc>
          <w:tcPr>
            <w:tcW w:w="3774" w:type="pct"/>
          </w:tcPr>
          <w:p w14:paraId="47214CE5">
            <w:pPr>
              <w:pStyle w:val="182"/>
              <w:rPr>
                <w:rFonts w:hint="eastAsia"/>
                <w:szCs w:val="18"/>
              </w:rPr>
            </w:pPr>
            <w:r>
              <w:rPr>
                <w:rFonts w:hint="eastAsia"/>
                <w:szCs w:val="18"/>
              </w:rPr>
              <w:t>己酸乙酯、乙酸乙酯</w:t>
            </w:r>
          </w:p>
        </w:tc>
        <w:tc>
          <w:tcPr>
            <w:tcW w:w="356" w:type="pct"/>
          </w:tcPr>
          <w:p w14:paraId="638FB56C">
            <w:pPr>
              <w:pStyle w:val="182"/>
              <w:rPr>
                <w:rFonts w:hint="eastAsia"/>
                <w:szCs w:val="18"/>
              </w:rPr>
            </w:pPr>
            <w:r>
              <w:rPr>
                <w:rFonts w:hint="eastAsia"/>
                <w:szCs w:val="18"/>
              </w:rPr>
              <w:t>2</w:t>
            </w:r>
          </w:p>
        </w:tc>
      </w:tr>
      <w:tr w14:paraId="7931AC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70" w:type="pct"/>
          </w:tcPr>
          <w:p w14:paraId="13FD85DA">
            <w:pPr>
              <w:pStyle w:val="182"/>
              <w:rPr>
                <w:rFonts w:ascii="Times New Roman" w:hAnsi="Times New Roman"/>
                <w:szCs w:val="18"/>
              </w:rPr>
            </w:pPr>
            <w:r>
              <w:rPr>
                <w:rFonts w:hint="eastAsia"/>
                <w:szCs w:val="18"/>
              </w:rPr>
              <w:t>其他香型</w:t>
            </w:r>
          </w:p>
        </w:tc>
        <w:tc>
          <w:tcPr>
            <w:tcW w:w="3774" w:type="pct"/>
          </w:tcPr>
          <w:p w14:paraId="0004BF1C">
            <w:pPr>
              <w:pStyle w:val="182"/>
              <w:rPr>
                <w:rFonts w:ascii="Times New Roman" w:hAnsi="Times New Roman"/>
                <w:szCs w:val="18"/>
              </w:rPr>
            </w:pPr>
            <w:r>
              <w:rPr>
                <w:rFonts w:hint="eastAsia"/>
                <w:szCs w:val="18"/>
              </w:rPr>
              <w:t>根据产品风格特征确定2～3种含量较高的主要酯类</w:t>
            </w:r>
          </w:p>
        </w:tc>
        <w:tc>
          <w:tcPr>
            <w:tcW w:w="356" w:type="pct"/>
          </w:tcPr>
          <w:p w14:paraId="51245084">
            <w:pPr>
              <w:pStyle w:val="182"/>
              <w:rPr>
                <w:rFonts w:ascii="Times New Roman" w:hAnsi="Times New Roman"/>
                <w:szCs w:val="18"/>
              </w:rPr>
            </w:pPr>
            <w:r>
              <w:rPr>
                <w:rFonts w:hint="eastAsia"/>
                <w:szCs w:val="18"/>
              </w:rPr>
              <w:t>2～3</w:t>
            </w:r>
          </w:p>
        </w:tc>
      </w:tr>
    </w:tbl>
    <w:p w14:paraId="01AFA198">
      <w:pPr>
        <w:spacing w:after="160" w:line="278" w:lineRule="auto"/>
        <w:rPr>
          <w:color w:val="auto"/>
        </w:rPr>
      </w:pPr>
      <w:r>
        <w:t>注：若某主体酯在本香型中含量过低导致测定误差偏大，可在报告中备注说明并适当调整。</w:t>
      </w:r>
      <w:r>
        <w:rPr>
          <w:rFonts w:hint="eastAsia"/>
        </w:rPr>
        <w:t>主体酯对应的酸，为该酯发</w:t>
      </w:r>
      <w:r>
        <w:rPr>
          <w:rFonts w:hint="eastAsia"/>
          <w:color w:val="auto"/>
        </w:rPr>
        <w:t>生水解反应将生成的酸。</w:t>
      </w:r>
      <w:r>
        <w:rPr>
          <w:color w:val="auto"/>
        </w:rPr>
        <w:t xml:space="preserve"> </w:t>
      </w:r>
    </w:p>
    <w:p w14:paraId="49D70448">
      <w:pPr>
        <w:pStyle w:val="51"/>
        <w:spacing w:before="156" w:after="156"/>
        <w:rPr>
          <w:rFonts w:ascii="Times New Roman"/>
          <w:color w:val="auto"/>
        </w:rPr>
      </w:pPr>
      <w:r>
        <w:rPr>
          <w:rFonts w:ascii="Times New Roman"/>
          <w:color w:val="auto"/>
        </w:rPr>
        <w:t>浓度测定</w:t>
      </w:r>
    </w:p>
    <w:p w14:paraId="0ACA3569">
      <w:pPr>
        <w:spacing w:after="160"/>
        <w:ind w:firstLine="420" w:firstLineChars="200"/>
      </w:pPr>
      <w:bookmarkStart w:id="27" w:name="OLE_LINK4"/>
      <w:bookmarkStart w:id="28" w:name="_Hlk220144814"/>
      <w:r>
        <w:rPr>
          <w:color w:val="auto"/>
        </w:rPr>
        <w:t>主体酯及其对应有机酸的浓度按GB/T 10345—2022《白酒分析方法》中规定的酸酯测定方法执行。其中，乳酸的测定可参照GB 5009.157—2016《食品安全国家标准 食品中有机酸的测定》执行，或采用经方法学验证的其他等效方法。</w:t>
      </w:r>
      <w:bookmarkEnd w:id="27"/>
      <w:r>
        <w:rPr>
          <w:color w:val="auto"/>
        </w:rPr>
        <w:t>每个样品平行测定3次，取平</w:t>
      </w:r>
      <w:r>
        <w:t>均值。</w:t>
      </w:r>
    </w:p>
    <w:bookmarkEnd w:id="28"/>
    <w:p w14:paraId="2A7F0645">
      <w:pPr>
        <w:pStyle w:val="51"/>
        <w:spacing w:before="156" w:after="156"/>
        <w:rPr>
          <w:rFonts w:ascii="Times New Roman"/>
        </w:rPr>
      </w:pPr>
      <w:r>
        <w:rPr>
          <w:rFonts w:ascii="Times New Roman"/>
        </w:rPr>
        <w:t>平衡度计算</w:t>
      </w:r>
    </w:p>
    <w:p w14:paraId="66203C70">
      <w:pPr>
        <w:spacing w:after="160" w:line="278" w:lineRule="auto"/>
        <w:ind w:firstLine="420" w:firstLineChars="200"/>
      </w:pPr>
      <w:r>
        <w:t>按以下步骤进行：</w:t>
      </w:r>
    </w:p>
    <w:p w14:paraId="7DBB7771">
      <w:pPr>
        <w:spacing w:after="160" w:line="278" w:lineRule="auto"/>
        <w:ind w:firstLine="420" w:firstLineChars="200"/>
      </w:pPr>
      <w:r>
        <w:t>a) 按</w:t>
      </w:r>
      <w:r>
        <w:rPr>
          <w:rFonts w:hint="eastAsia"/>
        </w:rPr>
        <w:t>5.1</w:t>
      </w:r>
      <w:r>
        <w:t xml:space="preserve">计算待测样品各主体酯的简化反应商 </w:t>
      </w:r>
      <w:r>
        <w:rPr>
          <w:i/>
          <w:iCs/>
        </w:rPr>
        <w:t>Q</w:t>
      </w:r>
      <w:r>
        <w:rPr>
          <w:vertAlign w:val="subscript"/>
        </w:rPr>
        <w:t>i</w:t>
      </w:r>
      <w:r>
        <w:t>；</w:t>
      </w:r>
    </w:p>
    <w:p w14:paraId="1BE21354">
      <w:pPr>
        <w:spacing w:after="160" w:line="278" w:lineRule="auto"/>
        <w:ind w:firstLine="420" w:firstLineChars="200"/>
      </w:pPr>
      <w:r>
        <w:t>b) 引用</w:t>
      </w:r>
      <w:r>
        <w:rPr>
          <w:rFonts w:hint="eastAsia"/>
        </w:rPr>
        <w:t>5.2</w:t>
      </w:r>
      <w:r>
        <w:t xml:space="preserve">确定的对应 </w:t>
      </w:r>
      <w:r>
        <w:rPr>
          <w:i/>
          <w:iCs/>
        </w:rPr>
        <w:t>K</w:t>
      </w:r>
      <w:r>
        <w:rPr>
          <w:vertAlign w:val="subscript"/>
        </w:rPr>
        <w:t>app,i</w:t>
      </w:r>
      <w:r>
        <w:t xml:space="preserve"> 值；</w:t>
      </w:r>
    </w:p>
    <w:p w14:paraId="4B0C38EF">
      <w:pPr>
        <w:spacing w:after="160" w:line="278" w:lineRule="auto"/>
        <w:ind w:firstLine="420" w:firstLineChars="200"/>
      </w:pPr>
      <w:r>
        <w:t>c) 按</w:t>
      </w:r>
      <w:r>
        <w:rPr>
          <w:rFonts w:hint="eastAsia"/>
        </w:rPr>
        <w:t>5.3</w:t>
      </w:r>
      <w:r>
        <w:t>计算</w:t>
      </w:r>
      <w:r>
        <w:rPr>
          <w:rFonts w:hint="eastAsia"/>
        </w:rPr>
        <w:t>平衡度</w:t>
      </w:r>
      <w:r>
        <w:rPr>
          <w:rFonts w:hint="eastAsia"/>
          <w:i/>
          <w:iCs/>
        </w:rPr>
        <w:t>B</w:t>
      </w:r>
      <w:r>
        <w:t xml:space="preserve">； </w:t>
      </w:r>
    </w:p>
    <w:p w14:paraId="2EF1043D">
      <w:pPr>
        <w:pStyle w:val="51"/>
        <w:spacing w:before="156" w:after="156"/>
        <w:rPr>
          <w:rFonts w:ascii="Times New Roman"/>
        </w:rPr>
      </w:pPr>
      <w:r>
        <w:rPr>
          <w:rFonts w:ascii="Times New Roman"/>
        </w:rPr>
        <w:t>结果表示</w:t>
      </w:r>
    </w:p>
    <w:p w14:paraId="6F3C62B6">
      <w:pPr>
        <w:ind w:firstLine="420" w:firstLineChars="200"/>
      </w:pPr>
      <w:r>
        <w:rPr>
          <w:rFonts w:hint="eastAsia"/>
        </w:rPr>
        <w:t>评定结果应以平衡度B的形式出具，并附主体酯信息。示例：“酸酯平衡度评价结果：B</w:t>
      </w:r>
      <w:r>
        <w:t>=85</w:t>
      </w:r>
      <w:r>
        <w:rPr>
          <w:rFonts w:hint="eastAsia"/>
        </w:rPr>
        <w:t>%，主体酯为己酸乙酯、乙酸乙酯、乳酸乙酯”。</w:t>
      </w:r>
    </w:p>
    <w:p w14:paraId="7AA3D60D">
      <w:pPr>
        <w:pStyle w:val="51"/>
        <w:spacing w:before="156" w:after="156"/>
        <w:rPr>
          <w:rFonts w:ascii="Times New Roman"/>
        </w:rPr>
      </w:pPr>
      <w:r>
        <w:rPr>
          <w:rFonts w:hint="eastAsia" w:ascii="Times New Roman"/>
        </w:rPr>
        <w:t>精密度</w:t>
      </w:r>
    </w:p>
    <w:p w14:paraId="7A57AD53">
      <w:pPr>
        <w:ind w:firstLine="420" w:firstLineChars="200"/>
      </w:pPr>
      <w:r>
        <w:rPr>
          <w:rFonts w:hint="eastAsia"/>
        </w:rPr>
        <w:t>同一实验室在相同条件下对同一样品进行两次独立测定，平衡度</w:t>
      </w:r>
      <w:r>
        <w:rPr>
          <w:rFonts w:hint="eastAsia"/>
          <w:i/>
          <w:iCs/>
        </w:rPr>
        <w:t>B</w:t>
      </w:r>
      <w:r>
        <w:rPr>
          <w:rFonts w:hint="eastAsia"/>
        </w:rPr>
        <w:t>的绝对差值应不大于 5%。</w:t>
      </w:r>
    </w:p>
    <w:bookmarkEnd w:id="25"/>
    <w:bookmarkEnd w:id="26"/>
    <w:p w14:paraId="730F149F">
      <w:pPr>
        <w:rPr>
          <w:rFonts w:ascii="Times New Roman" w:eastAsia="黑体"/>
        </w:rPr>
      </w:pPr>
      <w:r>
        <w:rPr>
          <w:rFonts w:ascii="Times New Roman" w:eastAsia="黑体"/>
        </w:rPr>
        <w:br w:type="page"/>
      </w:r>
    </w:p>
    <w:p w14:paraId="7B6E1841">
      <w:pPr>
        <w:pStyle w:val="48"/>
        <w:spacing w:before="468" w:beforeLines="150" w:after="468" w:afterLines="150"/>
        <w:jc w:val="center"/>
        <w:rPr>
          <w:rFonts w:ascii="Times New Roman" w:eastAsia="黑体"/>
        </w:rPr>
      </w:pPr>
      <w:bookmarkStart w:id="29" w:name="_GoBack"/>
      <w:bookmarkEnd w:id="29"/>
      <w:r>
        <w:rPr>
          <w:rFonts w:ascii="Times New Roman" w:eastAsia="黑体"/>
        </w:rPr>
        <w:t>参考文献</w:t>
      </w:r>
    </w:p>
    <w:p w14:paraId="49A57391">
      <w:pPr>
        <w:pStyle w:val="48"/>
        <w:rPr>
          <w:rFonts w:ascii="Times New Roman"/>
          <w:szCs w:val="21"/>
        </w:rPr>
      </w:pPr>
      <w:r>
        <w:rPr>
          <w:rFonts w:ascii="Times New Roman"/>
        </w:rPr>
        <w:t xml:space="preserve">[1]  </w:t>
      </w:r>
      <w:r>
        <w:rPr>
          <w:rFonts w:ascii="Times New Roman"/>
          <w:szCs w:val="21"/>
        </w:rPr>
        <w:t>GB/T 15109</w:t>
      </w:r>
      <w:r>
        <w:t>—</w:t>
      </w:r>
      <w:r>
        <w:rPr>
          <w:rFonts w:ascii="Times New Roman"/>
          <w:szCs w:val="21"/>
        </w:rPr>
        <w:t>2021  白酒工业术语</w:t>
      </w:r>
    </w:p>
    <w:p w14:paraId="6B4F688D">
      <w:pPr>
        <w:pStyle w:val="48"/>
        <w:rPr>
          <w:rFonts w:ascii="Times New Roman"/>
          <w:szCs w:val="21"/>
        </w:rPr>
      </w:pPr>
      <w:r>
        <w:rPr>
          <w:rFonts w:ascii="Times New Roman"/>
          <w:szCs w:val="21"/>
        </w:rPr>
        <w:t>[2]</w:t>
      </w:r>
      <w:r>
        <w:rPr>
          <w:rFonts w:hint="eastAsia" w:ascii="Times New Roman"/>
          <w:szCs w:val="21"/>
        </w:rPr>
        <w:t xml:space="preserve"> </w:t>
      </w:r>
      <w:r>
        <w:rPr>
          <w:rFonts w:ascii="Times New Roman"/>
          <w:szCs w:val="21"/>
        </w:rPr>
        <w:t xml:space="preserve"> GB/T 10345—2022 </w:t>
      </w:r>
      <w:r>
        <w:rPr>
          <w:rFonts w:hint="eastAsia" w:ascii="Times New Roman"/>
          <w:szCs w:val="21"/>
        </w:rPr>
        <w:t xml:space="preserve"> </w:t>
      </w:r>
      <w:r>
        <w:rPr>
          <w:rFonts w:ascii="Times New Roman"/>
          <w:szCs w:val="21"/>
        </w:rPr>
        <w:t>白酒分析方法</w:t>
      </w:r>
    </w:p>
    <w:p w14:paraId="606AD21F">
      <w:pPr>
        <w:pStyle w:val="48"/>
        <w:rPr>
          <w:rFonts w:ascii="Times New Roman"/>
          <w:szCs w:val="21"/>
        </w:rPr>
      </w:pPr>
      <w:r>
        <w:rPr>
          <w:rFonts w:ascii="Times New Roman"/>
        </w:rPr>
        <w:t>[</w:t>
      </w:r>
      <w:r>
        <w:rPr>
          <w:rFonts w:hint="eastAsia" w:ascii="Times New Roman"/>
        </w:rPr>
        <w:t>3</w:t>
      </w:r>
      <w:r>
        <w:rPr>
          <w:rFonts w:ascii="Times New Roman"/>
        </w:rPr>
        <w:t xml:space="preserve">]  </w:t>
      </w:r>
      <w:r>
        <w:rPr>
          <w:rFonts w:ascii="Times New Roman"/>
          <w:szCs w:val="21"/>
        </w:rPr>
        <w:t>GB/T 10346</w:t>
      </w:r>
      <w:r>
        <w:t>—</w:t>
      </w:r>
      <w:r>
        <w:rPr>
          <w:rFonts w:ascii="Times New Roman"/>
          <w:szCs w:val="21"/>
        </w:rPr>
        <w:t>2023  白酒检验规则和标志、包装、运输、贮存</w:t>
      </w:r>
    </w:p>
    <w:p w14:paraId="7D0BD47D">
      <w:pPr>
        <w:pStyle w:val="48"/>
        <w:rPr>
          <w:rFonts w:ascii="Times New Roman"/>
        </w:rPr>
      </w:pPr>
      <w:r>
        <w:rPr>
          <w:rFonts w:ascii="Times New Roman"/>
        </w:rPr>
        <w:t>[</w:t>
      </w:r>
      <w:r>
        <w:rPr>
          <w:rFonts w:hint="eastAsia" w:ascii="Times New Roman"/>
        </w:rPr>
        <w:t>4</w:t>
      </w:r>
      <w:r>
        <w:rPr>
          <w:rFonts w:ascii="Times New Roman"/>
        </w:rPr>
        <w:t xml:space="preserve">]  </w:t>
      </w:r>
      <w:r>
        <w:rPr>
          <w:rFonts w:ascii="Times New Roman"/>
          <w:szCs w:val="21"/>
        </w:rPr>
        <w:t>Jiang, S., Dai, W., Chen, X., Tan, W., Wang, J., Yu, Y., &amp; Zheng, Q. (2025). Vintage authentication technology for aged Baijiu: Acid-ester equilibrium. Current Research in Food Science, 101168.</w:t>
      </w:r>
    </w:p>
    <w:p w14:paraId="49E3A876">
      <w:pPr>
        <w:pStyle w:val="48"/>
        <w:rPr>
          <w:rFonts w:ascii="Times New Roman"/>
        </w:rPr>
      </w:pPr>
    </w:p>
    <w:p w14:paraId="3DC283D2">
      <w:pPr>
        <w:pStyle w:val="48"/>
        <w:jc w:val="center"/>
        <w:rPr>
          <w:rFonts w:ascii="Times New Roman"/>
        </w:rPr>
      </w:pPr>
    </w:p>
    <w:p w14:paraId="6A47D7AB">
      <w:pPr>
        <w:pStyle w:val="153"/>
        <w:keepNext w:val="0"/>
        <w:keepLines w:val="0"/>
        <w:tabs>
          <w:tab w:val="left" w:pos="602"/>
        </w:tabs>
        <w:spacing w:before="0" w:after="0" w:line="240" w:lineRule="auto"/>
        <w:ind w:firstLine="560" w:firstLineChars="200"/>
        <w:rPr>
          <w:rFonts w:eastAsia="仿宋_GB2312"/>
          <w:sz w:val="28"/>
          <w:szCs w:val="28"/>
        </w:rPr>
      </w:pPr>
      <w:r>
        <w:rPr>
          <w:rFonts w:eastAsia="仿宋_GB2312"/>
          <w:sz w:val="28"/>
          <w:szCs w:val="28"/>
        </w:rPr>
        <w:t xml:space="preserve">                       </w:t>
      </w:r>
      <w:r>
        <w:rPr>
          <w:rFonts w:eastAsia="仿宋_GB2312"/>
          <w:sz w:val="28"/>
          <w:szCs w:val="28"/>
          <w:u w:val="single"/>
        </w:rPr>
        <w:t xml:space="preserve">                </w:t>
      </w:r>
    </w:p>
    <w:p w14:paraId="6129A6CB">
      <w:pPr>
        <w:pStyle w:val="48"/>
        <w:jc w:val="center"/>
        <w:rPr>
          <w:rFonts w:ascii="Times New Roman"/>
        </w:rPr>
      </w:pPr>
    </w:p>
    <w:p w14:paraId="15F09443"/>
    <w:sectPr>
      <w:footerReference r:id="rId5" w:type="default"/>
      <w:pgSz w:w="11906" w:h="16838"/>
      <w:pgMar w:top="567" w:right="1134" w:bottom="1134" w:left="1418" w:header="1418" w:footer="1134" w:gutter="0"/>
      <w:pgNumType w:start="1"/>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CD472">
    <w:pPr>
      <w:pStyle w:val="19"/>
    </w:pPr>
    <w:r>
      <w:rPr>
        <w:rFonts w:hint="eastAsia" w:ascii="宋体" w:hAnsi="宋体"/>
        <w:kern w:val="0"/>
      </w:rPr>
      <w:t>Ⅰ</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1E9F2">
    <w:pPr>
      <w:pStyle w:val="19"/>
    </w:pPr>
    <w:r>
      <w:fldChar w:fldCharType="begin"/>
    </w:r>
    <w:r>
      <w:instrText xml:space="preserve">PAGE   \* MERGEFORMAT</w:instrText>
    </w:r>
    <w:r>
      <w:fldChar w:fldCharType="separate"/>
    </w:r>
    <w:r>
      <w:rPr>
        <w:lang w:val="zh-CN"/>
      </w:rPr>
      <w:t>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F86EF">
    <w:pPr>
      <w:pStyle w:val="53"/>
    </w:pPr>
    <w:r>
      <w:t>T/CBJ</w:t>
    </w:r>
    <w:r>
      <w:rPr>
        <w:rFonts w:hint="eastAsia"/>
      </w:rPr>
      <w:t xml:space="preserve"> </w:t>
    </w:r>
    <w:r>
      <w:t>XXXX—</w:t>
    </w:r>
    <w:r>
      <w:rPr>
        <w:rFonts w:hint="eastAsia"/>
      </w:rPr>
      <w:t>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67"/>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AE367E9"/>
    <w:multiLevelType w:val="multilevel"/>
    <w:tmpl w:val="0AE367E9"/>
    <w:lvl w:ilvl="0" w:tentative="0">
      <w:start w:val="1"/>
      <w:numFmt w:val="none"/>
      <w:pStyle w:val="61"/>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2">
    <w:nsid w:val="0D983844"/>
    <w:multiLevelType w:val="multilevel"/>
    <w:tmpl w:val="0D983844"/>
    <w:lvl w:ilvl="0" w:tentative="0">
      <w:start w:val="1"/>
      <w:numFmt w:val="decimal"/>
      <w:pStyle w:val="13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1AF15012"/>
    <w:multiLevelType w:val="multilevel"/>
    <w:tmpl w:val="1AF15012"/>
    <w:lvl w:ilvl="0" w:tentative="0">
      <w:start w:val="1"/>
      <w:numFmt w:val="upperLetter"/>
      <w:pStyle w:val="171"/>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1DBF583A"/>
    <w:multiLevelType w:val="multilevel"/>
    <w:tmpl w:val="1DBF583A"/>
    <w:lvl w:ilvl="0" w:tentative="0">
      <w:start w:val="1"/>
      <w:numFmt w:val="decimal"/>
      <w:pStyle w:val="74"/>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5">
    <w:nsid w:val="1FC91163"/>
    <w:multiLevelType w:val="multilevel"/>
    <w:tmpl w:val="1FC91163"/>
    <w:lvl w:ilvl="0" w:tentative="0">
      <w:start w:val="1"/>
      <w:numFmt w:val="decimal"/>
      <w:pStyle w:val="54"/>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1"/>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pStyle w:val="55"/>
      <w:suff w:val="nothing"/>
      <w:lvlText w:val="%1.%2.%3　"/>
      <w:lvlJc w:val="left"/>
      <w:pPr>
        <w:ind w:left="567"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64"/>
      <w:suff w:val="nothing"/>
      <w:lvlText w:val="%1.%2.%3.%4.%5　"/>
      <w:lvlJc w:val="left"/>
      <w:pPr>
        <w:ind w:left="0" w:firstLine="0"/>
      </w:pPr>
      <w:rPr>
        <w:rFonts w:hint="eastAsia" w:ascii="黑体" w:hAnsi="Times New Roman" w:eastAsia="黑体"/>
        <w:b w:val="0"/>
        <w:i w:val="0"/>
        <w:sz w:val="21"/>
      </w:rPr>
    </w:lvl>
    <w:lvl w:ilvl="5" w:tentative="0">
      <w:start w:val="1"/>
      <w:numFmt w:val="decimal"/>
      <w:pStyle w:val="65"/>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2827D5B"/>
    <w:multiLevelType w:val="multilevel"/>
    <w:tmpl w:val="22827D5B"/>
    <w:lvl w:ilvl="0" w:tentative="0">
      <w:start w:val="1"/>
      <w:numFmt w:val="none"/>
      <w:pStyle w:val="7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7">
    <w:nsid w:val="2A8F7113"/>
    <w:multiLevelType w:val="multilevel"/>
    <w:tmpl w:val="2A8F7113"/>
    <w:lvl w:ilvl="0" w:tentative="0">
      <w:start w:val="1"/>
      <w:numFmt w:val="upperLetter"/>
      <w:pStyle w:val="107"/>
      <w:suff w:val="space"/>
      <w:lvlText w:val="%1"/>
      <w:lvlJc w:val="left"/>
      <w:pPr>
        <w:ind w:left="623" w:hanging="425"/>
      </w:pPr>
      <w:rPr>
        <w:rFonts w:hint="eastAsia"/>
      </w:rPr>
    </w:lvl>
    <w:lvl w:ilvl="1" w:tentative="0">
      <w:start w:val="1"/>
      <w:numFmt w:val="decimal"/>
      <w:pStyle w:val="108"/>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8">
    <w:nsid w:val="2C5917C3"/>
    <w:multiLevelType w:val="multilevel"/>
    <w:tmpl w:val="2C5917C3"/>
    <w:lvl w:ilvl="0" w:tentative="0">
      <w:start w:val="1"/>
      <w:numFmt w:val="none"/>
      <w:pStyle w:val="57"/>
      <w:suff w:val="nothing"/>
      <w:lvlText w:val="%1——"/>
      <w:lvlJc w:val="left"/>
      <w:pPr>
        <w:ind w:left="833" w:hanging="408"/>
      </w:pPr>
      <w:rPr>
        <w:rFonts w:hint="eastAsia"/>
      </w:rPr>
    </w:lvl>
    <w:lvl w:ilvl="1" w:tentative="0">
      <w:start w:val="1"/>
      <w:numFmt w:val="bullet"/>
      <w:pStyle w:val="58"/>
      <w:lvlText w:val=""/>
      <w:lvlJc w:val="left"/>
      <w:pPr>
        <w:tabs>
          <w:tab w:val="left" w:pos="760"/>
        </w:tabs>
        <w:ind w:left="1264" w:hanging="413"/>
      </w:pPr>
      <w:rPr>
        <w:rFonts w:hint="default" w:ascii="Symbol" w:hAnsi="Symbol"/>
        <w:color w:val="auto"/>
      </w:rPr>
    </w:lvl>
    <w:lvl w:ilvl="2" w:tentative="0">
      <w:start w:val="1"/>
      <w:numFmt w:val="bullet"/>
      <w:pStyle w:val="6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9">
    <w:nsid w:val="3D733618"/>
    <w:multiLevelType w:val="multilevel"/>
    <w:tmpl w:val="3D733618"/>
    <w:lvl w:ilvl="0" w:tentative="0">
      <w:start w:val="1"/>
      <w:numFmt w:val="decimal"/>
      <w:pStyle w:val="25"/>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0">
    <w:nsid w:val="44C50F90"/>
    <w:multiLevelType w:val="multilevel"/>
    <w:tmpl w:val="44C50F90"/>
    <w:lvl w:ilvl="0" w:tentative="0">
      <w:start w:val="1"/>
      <w:numFmt w:val="lowerLetter"/>
      <w:pStyle w:val="68"/>
      <w:lvlText w:val="%1)"/>
      <w:lvlJc w:val="left"/>
      <w:pPr>
        <w:tabs>
          <w:tab w:val="left" w:pos="840"/>
        </w:tabs>
        <w:ind w:left="839" w:hanging="419"/>
      </w:pPr>
      <w:rPr>
        <w:rFonts w:hint="eastAsia" w:ascii="宋体" w:eastAsia="宋体"/>
        <w:b w:val="0"/>
        <w:i w:val="0"/>
        <w:sz w:val="21"/>
        <w:szCs w:val="21"/>
      </w:rPr>
    </w:lvl>
    <w:lvl w:ilvl="1" w:tentative="0">
      <w:start w:val="1"/>
      <w:numFmt w:val="decimal"/>
      <w:pStyle w:val="63"/>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1">
    <w:nsid w:val="48802D1C"/>
    <w:multiLevelType w:val="multilevel"/>
    <w:tmpl w:val="48802D1C"/>
    <w:lvl w:ilvl="0" w:tentative="0">
      <w:start w:val="1"/>
      <w:numFmt w:val="upperLetter"/>
      <w:pStyle w:val="172"/>
      <w:lvlText w:val="%1"/>
      <w:lvlJc w:val="left"/>
      <w:pPr>
        <w:ind w:left="420" w:hanging="420"/>
      </w:pPr>
      <w:rPr>
        <w:rFonts w:hint="eastAsia"/>
      </w:rPr>
    </w:lvl>
    <w:lvl w:ilvl="1" w:tentative="0">
      <w:start w:val="1"/>
      <w:numFmt w:val="decimal"/>
      <w:pStyle w:val="169"/>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4B733A5F"/>
    <w:multiLevelType w:val="multilevel"/>
    <w:tmpl w:val="4B733A5F"/>
    <w:lvl w:ilvl="0" w:tentative="0">
      <w:start w:val="1"/>
      <w:numFmt w:val="decimal"/>
      <w:pStyle w:val="71"/>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3">
    <w:nsid w:val="60B55DC2"/>
    <w:multiLevelType w:val="multilevel"/>
    <w:tmpl w:val="60B55DC2"/>
    <w:lvl w:ilvl="0" w:tentative="0">
      <w:start w:val="1"/>
      <w:numFmt w:val="upperLetter"/>
      <w:pStyle w:val="95"/>
      <w:lvlText w:val="%1"/>
      <w:lvlJc w:val="left"/>
      <w:pPr>
        <w:tabs>
          <w:tab w:val="left" w:pos="0"/>
        </w:tabs>
        <w:ind w:left="0" w:hanging="425"/>
      </w:pPr>
      <w:rPr>
        <w:rFonts w:hint="eastAsia"/>
      </w:rPr>
    </w:lvl>
    <w:lvl w:ilvl="1" w:tentative="0">
      <w:start w:val="1"/>
      <w:numFmt w:val="decimal"/>
      <w:pStyle w:val="96"/>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4">
    <w:nsid w:val="646260FA"/>
    <w:multiLevelType w:val="multilevel"/>
    <w:tmpl w:val="646260FA"/>
    <w:lvl w:ilvl="0" w:tentative="0">
      <w:start w:val="1"/>
      <w:numFmt w:val="decimal"/>
      <w:pStyle w:val="181"/>
      <w:suff w:val="nothing"/>
      <w:lvlText w:val="表%1　"/>
      <w:lvlJc w:val="left"/>
      <w:pPr>
        <w:ind w:left="0" w:firstLine="0"/>
      </w:pPr>
      <w:rPr>
        <w:rFonts w:hint="eastAsia" w:ascii="黑体" w:hAnsi="Times New Roman" w:eastAsia="黑体"/>
        <w:b w:val="0"/>
        <w:i w:val="0"/>
        <w:sz w:val="21"/>
        <w:lang w:val="en-U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57D3FBC"/>
    <w:multiLevelType w:val="multilevel"/>
    <w:tmpl w:val="657D3FBC"/>
    <w:lvl w:ilvl="0" w:tentative="0">
      <w:start w:val="1"/>
      <w:numFmt w:val="upperLetter"/>
      <w:pStyle w:val="93"/>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11"/>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12"/>
      <w:suff w:val="nothing"/>
      <w:lvlText w:val="%1.%2.%3　"/>
      <w:lvlJc w:val="left"/>
      <w:pPr>
        <w:ind w:left="0" w:firstLine="0"/>
      </w:pPr>
      <w:rPr>
        <w:rFonts w:hint="eastAsia" w:ascii="黑体" w:hAnsi="Times New Roman" w:eastAsia="黑体"/>
        <w:b w:val="0"/>
        <w:i w:val="0"/>
        <w:sz w:val="21"/>
      </w:rPr>
    </w:lvl>
    <w:lvl w:ilvl="3" w:tentative="0">
      <w:start w:val="1"/>
      <w:numFmt w:val="decimal"/>
      <w:pStyle w:val="97"/>
      <w:suff w:val="nothing"/>
      <w:lvlText w:val="%1.%2.%3.%4　"/>
      <w:lvlJc w:val="left"/>
      <w:pPr>
        <w:ind w:left="0" w:firstLine="0"/>
      </w:pPr>
      <w:rPr>
        <w:rFonts w:hint="eastAsia" w:ascii="黑体" w:hAnsi="Times New Roman" w:eastAsia="黑体"/>
        <w:b w:val="0"/>
        <w:i w:val="0"/>
        <w:sz w:val="21"/>
      </w:rPr>
    </w:lvl>
    <w:lvl w:ilvl="4" w:tentative="0">
      <w:start w:val="1"/>
      <w:numFmt w:val="decimal"/>
      <w:pStyle w:val="102"/>
      <w:suff w:val="nothing"/>
      <w:lvlText w:val="%1.%2.%3.%4.%5　"/>
      <w:lvlJc w:val="left"/>
      <w:pPr>
        <w:ind w:left="0" w:firstLine="0"/>
      </w:pPr>
      <w:rPr>
        <w:rFonts w:hint="eastAsia" w:ascii="黑体" w:hAnsi="Times New Roman" w:eastAsia="黑体"/>
        <w:b w:val="0"/>
        <w:i w:val="0"/>
        <w:sz w:val="21"/>
      </w:rPr>
    </w:lvl>
    <w:lvl w:ilvl="5" w:tentative="0">
      <w:start w:val="1"/>
      <w:numFmt w:val="decimal"/>
      <w:pStyle w:val="105"/>
      <w:suff w:val="nothing"/>
      <w:lvlText w:val="%1.%2.%3.%4.%5.%6　"/>
      <w:lvlJc w:val="left"/>
      <w:pPr>
        <w:ind w:left="0" w:firstLine="0"/>
      </w:pPr>
      <w:rPr>
        <w:rFonts w:hint="eastAsia" w:ascii="黑体" w:hAnsi="Times New Roman" w:eastAsia="黑体"/>
        <w:b w:val="0"/>
        <w:i w:val="0"/>
        <w:sz w:val="21"/>
      </w:rPr>
    </w:lvl>
    <w:lvl w:ilvl="6" w:tentative="0">
      <w:start w:val="1"/>
      <w:numFmt w:val="decimal"/>
      <w:pStyle w:val="10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CEA2025"/>
    <w:multiLevelType w:val="multilevel"/>
    <w:tmpl w:val="6CEA2025"/>
    <w:lvl w:ilvl="0" w:tentative="0">
      <w:start w:val="1"/>
      <w:numFmt w:val="none"/>
      <w:pStyle w:val="162"/>
      <w:suff w:val="nothing"/>
      <w:lvlText w:val="%1"/>
      <w:lvlJc w:val="left"/>
      <w:pPr>
        <w:ind w:left="0" w:firstLine="0"/>
      </w:pPr>
      <w:rPr>
        <w:rFonts w:hint="eastAsia"/>
      </w:rPr>
    </w:lvl>
    <w:lvl w:ilvl="1" w:tentative="0">
      <w:start w:val="1"/>
      <w:numFmt w:val="decimal"/>
      <w:pStyle w:val="160"/>
      <w:suff w:val="nothing"/>
      <w:lvlText w:val="%1%2　"/>
      <w:lvlJc w:val="left"/>
      <w:pPr>
        <w:ind w:left="0" w:firstLine="0"/>
      </w:pPr>
      <w:rPr>
        <w:rFonts w:hint="eastAsia" w:ascii="黑体" w:eastAsia="黑体"/>
        <w:b w:val="0"/>
        <w:i w:val="0"/>
        <w:sz w:val="21"/>
      </w:rPr>
    </w:lvl>
    <w:lvl w:ilvl="2" w:tentative="0">
      <w:start w:val="1"/>
      <w:numFmt w:val="decimal"/>
      <w:pStyle w:val="161"/>
      <w:suff w:val="nothing"/>
      <w:lvlText w:val="%1%2.%3　"/>
      <w:lvlJc w:val="left"/>
      <w:pPr>
        <w:ind w:left="426"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56"/>
      <w:suff w:val="nothing"/>
      <w:lvlText w:val="%1%2.%3.%4　"/>
      <w:lvlJc w:val="left"/>
      <w:pPr>
        <w:ind w:left="1418" w:firstLine="0"/>
      </w:pPr>
      <w:rPr>
        <w:rFonts w:hint="eastAsia" w:ascii="黑体" w:eastAsia="黑体"/>
        <w:b w:val="0"/>
        <w:i w:val="0"/>
        <w:sz w:val="21"/>
      </w:rPr>
    </w:lvl>
    <w:lvl w:ilvl="4" w:tentative="0">
      <w:start w:val="1"/>
      <w:numFmt w:val="decimal"/>
      <w:pStyle w:val="157"/>
      <w:suff w:val="nothing"/>
      <w:lvlText w:val="%1%2.%3.%4.%5　"/>
      <w:lvlJc w:val="left"/>
      <w:pPr>
        <w:ind w:left="0" w:firstLine="0"/>
      </w:pPr>
      <w:rPr>
        <w:rFonts w:hint="eastAsia" w:ascii="黑体" w:eastAsia="黑体"/>
        <w:b w:val="0"/>
        <w:i w:val="0"/>
        <w:sz w:val="21"/>
      </w:rPr>
    </w:lvl>
    <w:lvl w:ilvl="5" w:tentative="0">
      <w:start w:val="1"/>
      <w:numFmt w:val="decimal"/>
      <w:pStyle w:val="158"/>
      <w:suff w:val="nothing"/>
      <w:lvlText w:val="%1%2.%3.%4.%5.%6　"/>
      <w:lvlJc w:val="left"/>
      <w:pPr>
        <w:ind w:left="0" w:firstLine="0"/>
      </w:pPr>
      <w:rPr>
        <w:rFonts w:hint="eastAsia" w:ascii="黑体" w:eastAsia="黑体"/>
        <w:b w:val="0"/>
        <w:i w:val="0"/>
        <w:sz w:val="21"/>
      </w:rPr>
    </w:lvl>
    <w:lvl w:ilvl="6" w:tentative="0">
      <w:start w:val="1"/>
      <w:numFmt w:val="decimal"/>
      <w:pStyle w:val="159"/>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6D6C07CD"/>
    <w:multiLevelType w:val="multilevel"/>
    <w:tmpl w:val="6D6C07CD"/>
    <w:lvl w:ilvl="0" w:tentative="0">
      <w:start w:val="1"/>
      <w:numFmt w:val="lowerLetter"/>
      <w:pStyle w:val="114"/>
      <w:lvlText w:val="%1)"/>
      <w:lvlJc w:val="left"/>
      <w:pPr>
        <w:tabs>
          <w:tab w:val="left" w:pos="839"/>
        </w:tabs>
        <w:ind w:left="839" w:hanging="419"/>
      </w:pPr>
      <w:rPr>
        <w:rFonts w:hint="eastAsia" w:ascii="宋体" w:eastAsia="宋体"/>
        <w:b w:val="0"/>
        <w:i w:val="0"/>
        <w:sz w:val="21"/>
      </w:rPr>
    </w:lvl>
    <w:lvl w:ilvl="1" w:tentative="0">
      <w:start w:val="1"/>
      <w:numFmt w:val="decimal"/>
      <w:pStyle w:val="104"/>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8">
    <w:nsid w:val="6DBF04F4"/>
    <w:multiLevelType w:val="multilevel"/>
    <w:tmpl w:val="6DBF04F4"/>
    <w:lvl w:ilvl="0" w:tentative="0">
      <w:start w:val="1"/>
      <w:numFmt w:val="none"/>
      <w:pStyle w:val="66"/>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9"/>
  </w:num>
  <w:num w:numId="2">
    <w:abstractNumId w:val="5"/>
  </w:num>
  <w:num w:numId="3">
    <w:abstractNumId w:val="8"/>
  </w:num>
  <w:num w:numId="4">
    <w:abstractNumId w:val="1"/>
  </w:num>
  <w:num w:numId="5">
    <w:abstractNumId w:val="10"/>
  </w:num>
  <w:num w:numId="6">
    <w:abstractNumId w:val="18"/>
  </w:num>
  <w:num w:numId="7">
    <w:abstractNumId w:val="0"/>
  </w:num>
  <w:num w:numId="8">
    <w:abstractNumId w:val="12"/>
  </w:num>
  <w:num w:numId="9">
    <w:abstractNumId w:val="6"/>
  </w:num>
  <w:num w:numId="10">
    <w:abstractNumId w:val="4"/>
  </w:num>
  <w:num w:numId="11">
    <w:abstractNumId w:val="15"/>
  </w:num>
  <w:num w:numId="12">
    <w:abstractNumId w:val="13"/>
  </w:num>
  <w:num w:numId="13">
    <w:abstractNumId w:val="17"/>
  </w:num>
  <w:num w:numId="14">
    <w:abstractNumId w:val="7"/>
  </w:num>
  <w:num w:numId="15">
    <w:abstractNumId w:val="2"/>
  </w:num>
  <w:num w:numId="16">
    <w:abstractNumId w:val="16"/>
  </w:num>
  <w:num w:numId="17">
    <w:abstractNumId w:val="11"/>
  </w:num>
  <w:num w:numId="18">
    <w:abstractNumId w:val="3"/>
  </w:num>
  <w:num w:numId="19">
    <w:abstractNumId w:val="14"/>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009"/>
    <w:rsid w:val="00002D6A"/>
    <w:rsid w:val="0000661A"/>
    <w:rsid w:val="000069F5"/>
    <w:rsid w:val="00011CC7"/>
    <w:rsid w:val="00017A6B"/>
    <w:rsid w:val="00023A14"/>
    <w:rsid w:val="00024E67"/>
    <w:rsid w:val="00031EA7"/>
    <w:rsid w:val="000327E1"/>
    <w:rsid w:val="00050A59"/>
    <w:rsid w:val="00074745"/>
    <w:rsid w:val="000754DE"/>
    <w:rsid w:val="00082E7A"/>
    <w:rsid w:val="00084786"/>
    <w:rsid w:val="00093BE4"/>
    <w:rsid w:val="000A5D99"/>
    <w:rsid w:val="000A6222"/>
    <w:rsid w:val="000B7DF4"/>
    <w:rsid w:val="000C7FEF"/>
    <w:rsid w:val="000D02F8"/>
    <w:rsid w:val="000D18B7"/>
    <w:rsid w:val="000D2D09"/>
    <w:rsid w:val="000D7F55"/>
    <w:rsid w:val="000F48E0"/>
    <w:rsid w:val="000F53CA"/>
    <w:rsid w:val="000F581C"/>
    <w:rsid w:val="000F67F9"/>
    <w:rsid w:val="000F7041"/>
    <w:rsid w:val="00106B72"/>
    <w:rsid w:val="001127DB"/>
    <w:rsid w:val="00113F7D"/>
    <w:rsid w:val="001304A0"/>
    <w:rsid w:val="00135F79"/>
    <w:rsid w:val="00136840"/>
    <w:rsid w:val="00142686"/>
    <w:rsid w:val="00164211"/>
    <w:rsid w:val="001651CB"/>
    <w:rsid w:val="00170347"/>
    <w:rsid w:val="00172446"/>
    <w:rsid w:val="00173E83"/>
    <w:rsid w:val="00173EDF"/>
    <w:rsid w:val="00174340"/>
    <w:rsid w:val="00190E37"/>
    <w:rsid w:val="00195463"/>
    <w:rsid w:val="00196884"/>
    <w:rsid w:val="001A7B3D"/>
    <w:rsid w:val="001B259D"/>
    <w:rsid w:val="001C1B4E"/>
    <w:rsid w:val="001C1F77"/>
    <w:rsid w:val="001C4EDD"/>
    <w:rsid w:val="001C7544"/>
    <w:rsid w:val="001D7366"/>
    <w:rsid w:val="001E14C5"/>
    <w:rsid w:val="001E34F5"/>
    <w:rsid w:val="001E395E"/>
    <w:rsid w:val="001E3A2E"/>
    <w:rsid w:val="001E3E51"/>
    <w:rsid w:val="001F1F97"/>
    <w:rsid w:val="001F3282"/>
    <w:rsid w:val="001F3978"/>
    <w:rsid w:val="001F74D4"/>
    <w:rsid w:val="001F7BF8"/>
    <w:rsid w:val="00210477"/>
    <w:rsid w:val="002151D0"/>
    <w:rsid w:val="002155E7"/>
    <w:rsid w:val="0021715F"/>
    <w:rsid w:val="00225307"/>
    <w:rsid w:val="00236CC6"/>
    <w:rsid w:val="00251602"/>
    <w:rsid w:val="00254AD7"/>
    <w:rsid w:val="00262864"/>
    <w:rsid w:val="00264A78"/>
    <w:rsid w:val="0026531C"/>
    <w:rsid w:val="00267B5F"/>
    <w:rsid w:val="002807EF"/>
    <w:rsid w:val="002852B0"/>
    <w:rsid w:val="002955D8"/>
    <w:rsid w:val="002B3AA3"/>
    <w:rsid w:val="002B4614"/>
    <w:rsid w:val="002C2521"/>
    <w:rsid w:val="002C4914"/>
    <w:rsid w:val="002C56B5"/>
    <w:rsid w:val="002F2F97"/>
    <w:rsid w:val="002F7E3E"/>
    <w:rsid w:val="00302F78"/>
    <w:rsid w:val="00304E4C"/>
    <w:rsid w:val="003126A8"/>
    <w:rsid w:val="00316733"/>
    <w:rsid w:val="00322BCF"/>
    <w:rsid w:val="00324779"/>
    <w:rsid w:val="003358F0"/>
    <w:rsid w:val="00337194"/>
    <w:rsid w:val="00340509"/>
    <w:rsid w:val="003408F4"/>
    <w:rsid w:val="003479E6"/>
    <w:rsid w:val="00353211"/>
    <w:rsid w:val="003535F8"/>
    <w:rsid w:val="00354DED"/>
    <w:rsid w:val="00375013"/>
    <w:rsid w:val="003810C8"/>
    <w:rsid w:val="00390B2E"/>
    <w:rsid w:val="00391501"/>
    <w:rsid w:val="0039428A"/>
    <w:rsid w:val="00396325"/>
    <w:rsid w:val="003A5D9F"/>
    <w:rsid w:val="003D0C2C"/>
    <w:rsid w:val="003D15B2"/>
    <w:rsid w:val="003D19AA"/>
    <w:rsid w:val="003D2DB3"/>
    <w:rsid w:val="003D68B7"/>
    <w:rsid w:val="003E0EF2"/>
    <w:rsid w:val="003E29BB"/>
    <w:rsid w:val="003E428C"/>
    <w:rsid w:val="003E784C"/>
    <w:rsid w:val="003E7BF6"/>
    <w:rsid w:val="003F2FC4"/>
    <w:rsid w:val="00421032"/>
    <w:rsid w:val="004235F2"/>
    <w:rsid w:val="004243B5"/>
    <w:rsid w:val="004255F0"/>
    <w:rsid w:val="00432307"/>
    <w:rsid w:val="0043329A"/>
    <w:rsid w:val="004369DB"/>
    <w:rsid w:val="00437239"/>
    <w:rsid w:val="00443852"/>
    <w:rsid w:val="0045047D"/>
    <w:rsid w:val="00456E97"/>
    <w:rsid w:val="00460A84"/>
    <w:rsid w:val="00463F63"/>
    <w:rsid w:val="00464E6C"/>
    <w:rsid w:val="00464E7B"/>
    <w:rsid w:val="0046552B"/>
    <w:rsid w:val="0049171F"/>
    <w:rsid w:val="004A38D3"/>
    <w:rsid w:val="004A6F34"/>
    <w:rsid w:val="004C448F"/>
    <w:rsid w:val="004D0CD8"/>
    <w:rsid w:val="004D1438"/>
    <w:rsid w:val="004D528A"/>
    <w:rsid w:val="004E468B"/>
    <w:rsid w:val="00501234"/>
    <w:rsid w:val="00521CE0"/>
    <w:rsid w:val="0054126E"/>
    <w:rsid w:val="005427AC"/>
    <w:rsid w:val="005432DB"/>
    <w:rsid w:val="0054612E"/>
    <w:rsid w:val="00547F33"/>
    <w:rsid w:val="005520F2"/>
    <w:rsid w:val="00563F18"/>
    <w:rsid w:val="00570E38"/>
    <w:rsid w:val="00572D68"/>
    <w:rsid w:val="00573358"/>
    <w:rsid w:val="00574538"/>
    <w:rsid w:val="00581B62"/>
    <w:rsid w:val="00594DC1"/>
    <w:rsid w:val="005A12A0"/>
    <w:rsid w:val="005A19DD"/>
    <w:rsid w:val="005B2D44"/>
    <w:rsid w:val="005B7A38"/>
    <w:rsid w:val="005B7C7F"/>
    <w:rsid w:val="005C7FED"/>
    <w:rsid w:val="005D0434"/>
    <w:rsid w:val="005D542F"/>
    <w:rsid w:val="005E1615"/>
    <w:rsid w:val="00602489"/>
    <w:rsid w:val="00605587"/>
    <w:rsid w:val="00613BA4"/>
    <w:rsid w:val="006205B0"/>
    <w:rsid w:val="00631FB5"/>
    <w:rsid w:val="00632489"/>
    <w:rsid w:val="00633605"/>
    <w:rsid w:val="00645153"/>
    <w:rsid w:val="006519E7"/>
    <w:rsid w:val="00651BBE"/>
    <w:rsid w:val="00670FCE"/>
    <w:rsid w:val="006837F9"/>
    <w:rsid w:val="00683BB7"/>
    <w:rsid w:val="006848FD"/>
    <w:rsid w:val="00691E19"/>
    <w:rsid w:val="00694DBE"/>
    <w:rsid w:val="006A2778"/>
    <w:rsid w:val="006A412A"/>
    <w:rsid w:val="006A797C"/>
    <w:rsid w:val="006B4D46"/>
    <w:rsid w:val="006C5FA7"/>
    <w:rsid w:val="006C7450"/>
    <w:rsid w:val="006D562A"/>
    <w:rsid w:val="006D693A"/>
    <w:rsid w:val="006E1E96"/>
    <w:rsid w:val="006E286F"/>
    <w:rsid w:val="006E3080"/>
    <w:rsid w:val="006F13B6"/>
    <w:rsid w:val="007004CD"/>
    <w:rsid w:val="00701DC6"/>
    <w:rsid w:val="0071175B"/>
    <w:rsid w:val="0071499D"/>
    <w:rsid w:val="0071530E"/>
    <w:rsid w:val="00720304"/>
    <w:rsid w:val="007205E0"/>
    <w:rsid w:val="00736078"/>
    <w:rsid w:val="00736970"/>
    <w:rsid w:val="007410C9"/>
    <w:rsid w:val="00743739"/>
    <w:rsid w:val="00746C0B"/>
    <w:rsid w:val="0074711C"/>
    <w:rsid w:val="00760AAD"/>
    <w:rsid w:val="007672B6"/>
    <w:rsid w:val="007803F7"/>
    <w:rsid w:val="007823F4"/>
    <w:rsid w:val="00782744"/>
    <w:rsid w:val="007834E0"/>
    <w:rsid w:val="00793BF0"/>
    <w:rsid w:val="007A488D"/>
    <w:rsid w:val="007A60B6"/>
    <w:rsid w:val="007C043F"/>
    <w:rsid w:val="007C2E56"/>
    <w:rsid w:val="007C7593"/>
    <w:rsid w:val="007D04A5"/>
    <w:rsid w:val="007D58CB"/>
    <w:rsid w:val="007D6247"/>
    <w:rsid w:val="007E35C7"/>
    <w:rsid w:val="007E4355"/>
    <w:rsid w:val="007E7B88"/>
    <w:rsid w:val="007F74D3"/>
    <w:rsid w:val="00806F6B"/>
    <w:rsid w:val="00811ED2"/>
    <w:rsid w:val="0081205D"/>
    <w:rsid w:val="00820B48"/>
    <w:rsid w:val="00822653"/>
    <w:rsid w:val="00825003"/>
    <w:rsid w:val="00830B5C"/>
    <w:rsid w:val="00832981"/>
    <w:rsid w:val="008357C5"/>
    <w:rsid w:val="008365C9"/>
    <w:rsid w:val="00847705"/>
    <w:rsid w:val="00847D1D"/>
    <w:rsid w:val="0085318D"/>
    <w:rsid w:val="008532D1"/>
    <w:rsid w:val="00853830"/>
    <w:rsid w:val="008657A3"/>
    <w:rsid w:val="00881ADD"/>
    <w:rsid w:val="00881D9F"/>
    <w:rsid w:val="00882C0E"/>
    <w:rsid w:val="00890C1B"/>
    <w:rsid w:val="00892CBE"/>
    <w:rsid w:val="008A0C97"/>
    <w:rsid w:val="008A19F7"/>
    <w:rsid w:val="008B4C86"/>
    <w:rsid w:val="008B4DA4"/>
    <w:rsid w:val="008C76E2"/>
    <w:rsid w:val="008D1696"/>
    <w:rsid w:val="008D7657"/>
    <w:rsid w:val="008E7BE4"/>
    <w:rsid w:val="008F1051"/>
    <w:rsid w:val="008F1729"/>
    <w:rsid w:val="008F1E78"/>
    <w:rsid w:val="00905AC1"/>
    <w:rsid w:val="00907278"/>
    <w:rsid w:val="00910A2B"/>
    <w:rsid w:val="00910F85"/>
    <w:rsid w:val="009110C3"/>
    <w:rsid w:val="00921009"/>
    <w:rsid w:val="00922929"/>
    <w:rsid w:val="00923929"/>
    <w:rsid w:val="0093614F"/>
    <w:rsid w:val="00942A13"/>
    <w:rsid w:val="00944B9D"/>
    <w:rsid w:val="00946C5E"/>
    <w:rsid w:val="00954944"/>
    <w:rsid w:val="0095574D"/>
    <w:rsid w:val="00957488"/>
    <w:rsid w:val="009660DE"/>
    <w:rsid w:val="0097466E"/>
    <w:rsid w:val="00976256"/>
    <w:rsid w:val="009840CD"/>
    <w:rsid w:val="009954EA"/>
    <w:rsid w:val="00996361"/>
    <w:rsid w:val="009963BA"/>
    <w:rsid w:val="009B5296"/>
    <w:rsid w:val="009B652E"/>
    <w:rsid w:val="009C0C40"/>
    <w:rsid w:val="009C0D06"/>
    <w:rsid w:val="009C188B"/>
    <w:rsid w:val="009C19CC"/>
    <w:rsid w:val="009D002F"/>
    <w:rsid w:val="009D33A5"/>
    <w:rsid w:val="009E0434"/>
    <w:rsid w:val="009E274A"/>
    <w:rsid w:val="009F42D3"/>
    <w:rsid w:val="009F4A6F"/>
    <w:rsid w:val="009F55A7"/>
    <w:rsid w:val="009F5EBD"/>
    <w:rsid w:val="009F6705"/>
    <w:rsid w:val="00A078C0"/>
    <w:rsid w:val="00A11D6D"/>
    <w:rsid w:val="00A30EA0"/>
    <w:rsid w:val="00A311AE"/>
    <w:rsid w:val="00A31B80"/>
    <w:rsid w:val="00A40AD1"/>
    <w:rsid w:val="00A41CD2"/>
    <w:rsid w:val="00A41E68"/>
    <w:rsid w:val="00A4289E"/>
    <w:rsid w:val="00A4790E"/>
    <w:rsid w:val="00A550B7"/>
    <w:rsid w:val="00A73466"/>
    <w:rsid w:val="00A75F50"/>
    <w:rsid w:val="00A77A13"/>
    <w:rsid w:val="00A94471"/>
    <w:rsid w:val="00AA3526"/>
    <w:rsid w:val="00AB0DE4"/>
    <w:rsid w:val="00AB56E6"/>
    <w:rsid w:val="00AC623D"/>
    <w:rsid w:val="00AC7014"/>
    <w:rsid w:val="00AD212C"/>
    <w:rsid w:val="00AD31DF"/>
    <w:rsid w:val="00AF3C60"/>
    <w:rsid w:val="00AF5FC2"/>
    <w:rsid w:val="00B011EF"/>
    <w:rsid w:val="00B02750"/>
    <w:rsid w:val="00B1160A"/>
    <w:rsid w:val="00B1487C"/>
    <w:rsid w:val="00B14F79"/>
    <w:rsid w:val="00B1540A"/>
    <w:rsid w:val="00B22096"/>
    <w:rsid w:val="00B43CD2"/>
    <w:rsid w:val="00B537ED"/>
    <w:rsid w:val="00B615CC"/>
    <w:rsid w:val="00B66B08"/>
    <w:rsid w:val="00B77AAC"/>
    <w:rsid w:val="00B816AE"/>
    <w:rsid w:val="00B82B05"/>
    <w:rsid w:val="00B84E5B"/>
    <w:rsid w:val="00B85251"/>
    <w:rsid w:val="00B9181C"/>
    <w:rsid w:val="00B93187"/>
    <w:rsid w:val="00BA23DE"/>
    <w:rsid w:val="00BA511E"/>
    <w:rsid w:val="00BA5DB8"/>
    <w:rsid w:val="00BB01EA"/>
    <w:rsid w:val="00BB3D06"/>
    <w:rsid w:val="00BB6AA4"/>
    <w:rsid w:val="00BC0048"/>
    <w:rsid w:val="00BC1053"/>
    <w:rsid w:val="00BD601D"/>
    <w:rsid w:val="00BE0BB3"/>
    <w:rsid w:val="00BE1E63"/>
    <w:rsid w:val="00BF08FC"/>
    <w:rsid w:val="00C03C4D"/>
    <w:rsid w:val="00C04B1C"/>
    <w:rsid w:val="00C0599C"/>
    <w:rsid w:val="00C1108A"/>
    <w:rsid w:val="00C1463A"/>
    <w:rsid w:val="00C23E95"/>
    <w:rsid w:val="00C34699"/>
    <w:rsid w:val="00C366D6"/>
    <w:rsid w:val="00C42826"/>
    <w:rsid w:val="00C429D1"/>
    <w:rsid w:val="00C443E6"/>
    <w:rsid w:val="00C53C71"/>
    <w:rsid w:val="00C55142"/>
    <w:rsid w:val="00C6584C"/>
    <w:rsid w:val="00C666F8"/>
    <w:rsid w:val="00C7186D"/>
    <w:rsid w:val="00C719D5"/>
    <w:rsid w:val="00C75F5C"/>
    <w:rsid w:val="00C802D3"/>
    <w:rsid w:val="00C84AEA"/>
    <w:rsid w:val="00CB2A64"/>
    <w:rsid w:val="00CB38CE"/>
    <w:rsid w:val="00CD24C4"/>
    <w:rsid w:val="00CD5483"/>
    <w:rsid w:val="00CE0D53"/>
    <w:rsid w:val="00CE4118"/>
    <w:rsid w:val="00CE6615"/>
    <w:rsid w:val="00CF5B28"/>
    <w:rsid w:val="00CF624E"/>
    <w:rsid w:val="00D013DB"/>
    <w:rsid w:val="00D107C2"/>
    <w:rsid w:val="00D10BEF"/>
    <w:rsid w:val="00D33802"/>
    <w:rsid w:val="00D42CA2"/>
    <w:rsid w:val="00D60A9F"/>
    <w:rsid w:val="00D630C8"/>
    <w:rsid w:val="00D643E0"/>
    <w:rsid w:val="00D74CE9"/>
    <w:rsid w:val="00D76FBC"/>
    <w:rsid w:val="00D81C8C"/>
    <w:rsid w:val="00D82791"/>
    <w:rsid w:val="00D82DC5"/>
    <w:rsid w:val="00D8598A"/>
    <w:rsid w:val="00D859F3"/>
    <w:rsid w:val="00D85EF7"/>
    <w:rsid w:val="00D913BA"/>
    <w:rsid w:val="00D94CE9"/>
    <w:rsid w:val="00DA1E0C"/>
    <w:rsid w:val="00DB7A07"/>
    <w:rsid w:val="00DC51FD"/>
    <w:rsid w:val="00DC7B4D"/>
    <w:rsid w:val="00DC7BFA"/>
    <w:rsid w:val="00DD24AF"/>
    <w:rsid w:val="00DE21F8"/>
    <w:rsid w:val="00DE397E"/>
    <w:rsid w:val="00DE666E"/>
    <w:rsid w:val="00DE7F92"/>
    <w:rsid w:val="00DE7FFC"/>
    <w:rsid w:val="00DF0094"/>
    <w:rsid w:val="00DF149A"/>
    <w:rsid w:val="00E122D3"/>
    <w:rsid w:val="00E17342"/>
    <w:rsid w:val="00E21852"/>
    <w:rsid w:val="00E30102"/>
    <w:rsid w:val="00E43A2B"/>
    <w:rsid w:val="00E52B4C"/>
    <w:rsid w:val="00E60033"/>
    <w:rsid w:val="00E60400"/>
    <w:rsid w:val="00E61A97"/>
    <w:rsid w:val="00E63671"/>
    <w:rsid w:val="00E67CD0"/>
    <w:rsid w:val="00E72909"/>
    <w:rsid w:val="00E72960"/>
    <w:rsid w:val="00E748DE"/>
    <w:rsid w:val="00E8144E"/>
    <w:rsid w:val="00E833C0"/>
    <w:rsid w:val="00E91C30"/>
    <w:rsid w:val="00E92EBE"/>
    <w:rsid w:val="00E95750"/>
    <w:rsid w:val="00E97FA0"/>
    <w:rsid w:val="00EB0B17"/>
    <w:rsid w:val="00EB6A63"/>
    <w:rsid w:val="00EC1A30"/>
    <w:rsid w:val="00EC7D83"/>
    <w:rsid w:val="00ED14B4"/>
    <w:rsid w:val="00EE5E81"/>
    <w:rsid w:val="00EF0144"/>
    <w:rsid w:val="00EF4F5B"/>
    <w:rsid w:val="00F00F0C"/>
    <w:rsid w:val="00F04B91"/>
    <w:rsid w:val="00F233CD"/>
    <w:rsid w:val="00F349A2"/>
    <w:rsid w:val="00F43DBF"/>
    <w:rsid w:val="00F475EA"/>
    <w:rsid w:val="00F5012C"/>
    <w:rsid w:val="00F62041"/>
    <w:rsid w:val="00F62723"/>
    <w:rsid w:val="00F64CF3"/>
    <w:rsid w:val="00F85BAA"/>
    <w:rsid w:val="00F95225"/>
    <w:rsid w:val="00FA0CBC"/>
    <w:rsid w:val="00FA55F0"/>
    <w:rsid w:val="00FB2B1D"/>
    <w:rsid w:val="00FB2CF7"/>
    <w:rsid w:val="00FB2F29"/>
    <w:rsid w:val="00FB32F4"/>
    <w:rsid w:val="00FB56BE"/>
    <w:rsid w:val="00FC1575"/>
    <w:rsid w:val="00FC65BC"/>
    <w:rsid w:val="00FC696F"/>
    <w:rsid w:val="00FD1719"/>
    <w:rsid w:val="00FD749F"/>
    <w:rsid w:val="00FE617D"/>
    <w:rsid w:val="00FF7B3C"/>
    <w:rsid w:val="049B1868"/>
    <w:rsid w:val="0D7A4762"/>
    <w:rsid w:val="190C46BD"/>
    <w:rsid w:val="198B64F6"/>
    <w:rsid w:val="20C7015D"/>
    <w:rsid w:val="28DD65A7"/>
    <w:rsid w:val="29543B9B"/>
    <w:rsid w:val="31FC5B15"/>
    <w:rsid w:val="32A15F03"/>
    <w:rsid w:val="351A72AD"/>
    <w:rsid w:val="45F919BC"/>
    <w:rsid w:val="491344EB"/>
    <w:rsid w:val="5242406B"/>
    <w:rsid w:val="54A156E6"/>
    <w:rsid w:val="5F35508F"/>
    <w:rsid w:val="5FEA0199"/>
    <w:rsid w:val="6D40115E"/>
    <w:rsid w:val="6FB27905"/>
    <w:rsid w:val="72D15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99"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8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43"/>
    <w:semiHidden/>
    <w:unhideWhenUsed/>
    <w:qFormat/>
    <w:uiPriority w:val="0"/>
    <w:pPr>
      <w:keepNext/>
      <w:keepLines/>
      <w:spacing w:before="260" w:after="260" w:line="416" w:lineRule="auto"/>
      <w:outlineLvl w:val="2"/>
    </w:pPr>
    <w:rPr>
      <w:b/>
      <w:bCs/>
      <w:sz w:val="32"/>
      <w:szCs w:val="32"/>
    </w:rPr>
  </w:style>
  <w:style w:type="paragraph" w:styleId="4">
    <w:name w:val="heading 4"/>
    <w:basedOn w:val="1"/>
    <w:next w:val="1"/>
    <w:link w:val="18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6">
    <w:name w:val="Default Paragraph Font"/>
    <w:semiHidden/>
    <w:unhideWhenUsed/>
    <w:uiPriority w:val="1"/>
  </w:style>
  <w:style w:type="table" w:default="1" w:styleId="34">
    <w:name w:val="Normal Table"/>
    <w:semiHidden/>
    <w:unhideWhenUsed/>
    <w:uiPriority w:val="99"/>
    <w:tblPr>
      <w:tblCellMar>
        <w:top w:w="0" w:type="dxa"/>
        <w:left w:w="108" w:type="dxa"/>
        <w:bottom w:w="0" w:type="dxa"/>
        <w:right w:w="108" w:type="dxa"/>
      </w:tblCellMar>
    </w:tblPr>
  </w:style>
  <w:style w:type="paragraph" w:styleId="5">
    <w:name w:val="toc 7"/>
    <w:basedOn w:val="1"/>
    <w:next w:val="1"/>
    <w:semiHidden/>
    <w:qFormat/>
    <w:uiPriority w:val="0"/>
    <w:pPr>
      <w:tabs>
        <w:tab w:val="right" w:leader="dot" w:pos="9241"/>
      </w:tabs>
      <w:ind w:firstLine="505" w:firstLineChars="500"/>
      <w:jc w:val="left"/>
    </w:pPr>
    <w:rPr>
      <w:rFonts w:ascii="宋体"/>
      <w:szCs w:val="21"/>
    </w:rPr>
  </w:style>
  <w:style w:type="paragraph" w:styleId="6">
    <w:name w:val="index 8"/>
    <w:basedOn w:val="1"/>
    <w:next w:val="1"/>
    <w:qFormat/>
    <w:uiPriority w:val="0"/>
    <w:pPr>
      <w:ind w:left="1680" w:hanging="210"/>
      <w:jc w:val="left"/>
    </w:pPr>
    <w:rPr>
      <w:rFonts w:ascii="Calibri" w:hAnsi="Calibri"/>
      <w:sz w:val="20"/>
      <w:szCs w:val="20"/>
    </w:rPr>
  </w:style>
  <w:style w:type="paragraph" w:styleId="7">
    <w:name w:val="caption"/>
    <w:basedOn w:val="1"/>
    <w:next w:val="1"/>
    <w:qFormat/>
    <w:uiPriority w:val="0"/>
    <w:pPr>
      <w:spacing w:before="152" w:after="160"/>
    </w:pPr>
    <w:rPr>
      <w:rFonts w:ascii="Arial" w:hAnsi="Arial" w:eastAsia="黑体" w:cs="Arial"/>
      <w:sz w:val="20"/>
      <w:szCs w:val="20"/>
    </w:rPr>
  </w:style>
  <w:style w:type="paragraph" w:styleId="8">
    <w:name w:val="index 5"/>
    <w:basedOn w:val="1"/>
    <w:next w:val="1"/>
    <w:qFormat/>
    <w:uiPriority w:val="0"/>
    <w:pPr>
      <w:ind w:left="1050" w:hanging="210"/>
      <w:jc w:val="left"/>
    </w:pPr>
    <w:rPr>
      <w:rFonts w:ascii="Calibri" w:hAnsi="Calibri"/>
      <w:sz w:val="20"/>
      <w:szCs w:val="20"/>
    </w:rPr>
  </w:style>
  <w:style w:type="paragraph" w:styleId="9">
    <w:name w:val="Document Map"/>
    <w:basedOn w:val="1"/>
    <w:link w:val="44"/>
    <w:semiHidden/>
    <w:qFormat/>
    <w:uiPriority w:val="0"/>
    <w:pPr>
      <w:shd w:val="clear" w:color="auto" w:fill="000080"/>
    </w:pPr>
  </w:style>
  <w:style w:type="paragraph" w:styleId="10">
    <w:name w:val="annotation text"/>
    <w:basedOn w:val="1"/>
    <w:link w:val="178"/>
    <w:unhideWhenUsed/>
    <w:qFormat/>
    <w:uiPriority w:val="99"/>
    <w:pPr>
      <w:jc w:val="left"/>
    </w:pPr>
  </w:style>
  <w:style w:type="paragraph" w:styleId="11">
    <w:name w:val="index 6"/>
    <w:basedOn w:val="1"/>
    <w:next w:val="1"/>
    <w:qFormat/>
    <w:uiPriority w:val="0"/>
    <w:pPr>
      <w:ind w:left="1260" w:hanging="210"/>
      <w:jc w:val="left"/>
    </w:pPr>
    <w:rPr>
      <w:rFonts w:ascii="Calibri" w:hAnsi="Calibri"/>
      <w:sz w:val="20"/>
      <w:szCs w:val="20"/>
    </w:rPr>
  </w:style>
  <w:style w:type="paragraph" w:styleId="12">
    <w:name w:val="Body Text"/>
    <w:basedOn w:val="1"/>
    <w:link w:val="174"/>
    <w:qFormat/>
    <w:uiPriority w:val="0"/>
    <w:pPr>
      <w:spacing w:after="120"/>
    </w:pPr>
  </w:style>
  <w:style w:type="paragraph" w:styleId="13">
    <w:name w:val="index 4"/>
    <w:basedOn w:val="1"/>
    <w:next w:val="1"/>
    <w:qFormat/>
    <w:uiPriority w:val="0"/>
    <w:pPr>
      <w:ind w:left="840" w:hanging="210"/>
      <w:jc w:val="left"/>
    </w:pPr>
    <w:rPr>
      <w:rFonts w:ascii="Calibri" w:hAnsi="Calibri"/>
      <w:sz w:val="20"/>
      <w:szCs w:val="20"/>
    </w:rPr>
  </w:style>
  <w:style w:type="paragraph" w:styleId="14">
    <w:name w:val="toc 5"/>
    <w:basedOn w:val="1"/>
    <w:next w:val="1"/>
    <w:semiHidden/>
    <w:qFormat/>
    <w:uiPriority w:val="0"/>
    <w:pPr>
      <w:tabs>
        <w:tab w:val="right" w:leader="dot" w:pos="9241"/>
      </w:tabs>
      <w:ind w:firstLine="300" w:firstLineChars="300"/>
      <w:jc w:val="left"/>
    </w:pPr>
    <w:rPr>
      <w:rFonts w:ascii="宋体"/>
      <w:szCs w:val="21"/>
    </w:rPr>
  </w:style>
  <w:style w:type="paragraph" w:styleId="15">
    <w:name w:val="toc 3"/>
    <w:basedOn w:val="1"/>
    <w:next w:val="1"/>
    <w:semiHidden/>
    <w:qFormat/>
    <w:uiPriority w:val="0"/>
    <w:pPr>
      <w:tabs>
        <w:tab w:val="right" w:leader="dot" w:pos="9241"/>
      </w:tabs>
      <w:ind w:firstLine="102" w:firstLineChars="100"/>
      <w:jc w:val="left"/>
    </w:pPr>
    <w:rPr>
      <w:rFonts w:ascii="宋体"/>
      <w:szCs w:val="21"/>
    </w:rPr>
  </w:style>
  <w:style w:type="paragraph" w:styleId="16">
    <w:name w:val="toc 8"/>
    <w:basedOn w:val="1"/>
    <w:next w:val="1"/>
    <w:semiHidden/>
    <w:qFormat/>
    <w:uiPriority w:val="0"/>
    <w:pPr>
      <w:tabs>
        <w:tab w:val="right" w:leader="dot" w:pos="9241"/>
      </w:tabs>
      <w:ind w:firstLine="607" w:firstLineChars="600"/>
      <w:jc w:val="left"/>
    </w:pPr>
    <w:rPr>
      <w:rFonts w:ascii="宋体"/>
      <w:szCs w:val="21"/>
    </w:rPr>
  </w:style>
  <w:style w:type="paragraph" w:styleId="17">
    <w:name w:val="index 3"/>
    <w:basedOn w:val="1"/>
    <w:next w:val="1"/>
    <w:qFormat/>
    <w:uiPriority w:val="0"/>
    <w:pPr>
      <w:ind w:left="630" w:hanging="210"/>
      <w:jc w:val="left"/>
    </w:pPr>
    <w:rPr>
      <w:rFonts w:ascii="Calibri" w:hAnsi="Calibri"/>
      <w:sz w:val="20"/>
      <w:szCs w:val="20"/>
    </w:rPr>
  </w:style>
  <w:style w:type="paragraph" w:styleId="18">
    <w:name w:val="endnote text"/>
    <w:basedOn w:val="1"/>
    <w:link w:val="45"/>
    <w:semiHidden/>
    <w:qFormat/>
    <w:uiPriority w:val="0"/>
    <w:pPr>
      <w:snapToGrid w:val="0"/>
      <w:jc w:val="left"/>
    </w:pPr>
  </w:style>
  <w:style w:type="paragraph" w:styleId="19">
    <w:name w:val="footer"/>
    <w:basedOn w:val="1"/>
    <w:link w:val="46"/>
    <w:qFormat/>
    <w:uiPriority w:val="0"/>
    <w:pPr>
      <w:snapToGrid w:val="0"/>
      <w:ind w:right="210" w:rightChars="100"/>
      <w:jc w:val="right"/>
    </w:pPr>
    <w:rPr>
      <w:sz w:val="18"/>
      <w:szCs w:val="18"/>
    </w:rPr>
  </w:style>
  <w:style w:type="paragraph" w:styleId="20">
    <w:name w:val="header"/>
    <w:basedOn w:val="1"/>
    <w:link w:val="47"/>
    <w:qFormat/>
    <w:uiPriority w:val="0"/>
    <w:pPr>
      <w:snapToGrid w:val="0"/>
      <w:jc w:val="left"/>
    </w:pPr>
    <w:rPr>
      <w:sz w:val="18"/>
      <w:szCs w:val="18"/>
    </w:rPr>
  </w:style>
  <w:style w:type="paragraph" w:styleId="21">
    <w:name w:val="toc 1"/>
    <w:basedOn w:val="1"/>
    <w:next w:val="1"/>
    <w:qFormat/>
    <w:uiPriority w:val="39"/>
    <w:pPr>
      <w:tabs>
        <w:tab w:val="right" w:leader="dot" w:pos="9241"/>
      </w:tabs>
      <w:spacing w:beforeLines="25" w:afterLines="25"/>
      <w:jc w:val="left"/>
    </w:pPr>
    <w:rPr>
      <w:rFonts w:ascii="宋体"/>
      <w:szCs w:val="21"/>
    </w:rPr>
  </w:style>
  <w:style w:type="paragraph" w:styleId="22">
    <w:name w:val="toc 4"/>
    <w:basedOn w:val="1"/>
    <w:next w:val="1"/>
    <w:semiHidden/>
    <w:qFormat/>
    <w:uiPriority w:val="0"/>
    <w:pPr>
      <w:tabs>
        <w:tab w:val="right" w:leader="dot" w:pos="9241"/>
      </w:tabs>
      <w:ind w:firstLine="198" w:firstLineChars="200"/>
      <w:jc w:val="left"/>
    </w:pPr>
    <w:rPr>
      <w:rFonts w:ascii="宋体"/>
      <w:szCs w:val="21"/>
    </w:rPr>
  </w:style>
  <w:style w:type="paragraph" w:styleId="23">
    <w:name w:val="index heading"/>
    <w:basedOn w:val="1"/>
    <w:next w:val="24"/>
    <w:qFormat/>
    <w:uiPriority w:val="0"/>
    <w:pPr>
      <w:spacing w:before="120" w:after="120"/>
      <w:jc w:val="center"/>
    </w:pPr>
    <w:rPr>
      <w:rFonts w:ascii="Calibri" w:hAnsi="Calibri"/>
      <w:b/>
      <w:bCs/>
      <w:iCs/>
      <w:szCs w:val="20"/>
    </w:rPr>
  </w:style>
  <w:style w:type="paragraph" w:styleId="24">
    <w:name w:val="index 1"/>
    <w:basedOn w:val="1"/>
    <w:next w:val="1"/>
    <w:autoRedefine/>
    <w:unhideWhenUsed/>
    <w:qFormat/>
    <w:uiPriority w:val="0"/>
  </w:style>
  <w:style w:type="paragraph" w:styleId="25">
    <w:name w:val="footnote text"/>
    <w:basedOn w:val="1"/>
    <w:link w:val="49"/>
    <w:qFormat/>
    <w:uiPriority w:val="0"/>
    <w:pPr>
      <w:numPr>
        <w:ilvl w:val="0"/>
        <w:numId w:val="1"/>
      </w:numPr>
      <w:snapToGrid w:val="0"/>
      <w:jc w:val="left"/>
    </w:pPr>
    <w:rPr>
      <w:rFonts w:ascii="宋体"/>
      <w:sz w:val="18"/>
      <w:szCs w:val="18"/>
    </w:rPr>
  </w:style>
  <w:style w:type="paragraph" w:styleId="26">
    <w:name w:val="toc 6"/>
    <w:basedOn w:val="1"/>
    <w:next w:val="1"/>
    <w:semiHidden/>
    <w:qFormat/>
    <w:uiPriority w:val="0"/>
    <w:pPr>
      <w:tabs>
        <w:tab w:val="right" w:leader="dot" w:pos="9241"/>
      </w:tabs>
      <w:ind w:firstLine="403" w:firstLineChars="400"/>
      <w:jc w:val="left"/>
    </w:pPr>
    <w:rPr>
      <w:rFonts w:ascii="宋体"/>
      <w:szCs w:val="21"/>
    </w:rPr>
  </w:style>
  <w:style w:type="paragraph" w:styleId="27">
    <w:name w:val="index 7"/>
    <w:basedOn w:val="1"/>
    <w:next w:val="1"/>
    <w:qFormat/>
    <w:uiPriority w:val="0"/>
    <w:pPr>
      <w:ind w:left="1470" w:hanging="210"/>
      <w:jc w:val="left"/>
    </w:pPr>
    <w:rPr>
      <w:rFonts w:ascii="Calibri" w:hAnsi="Calibri"/>
      <w:sz w:val="20"/>
      <w:szCs w:val="20"/>
    </w:rPr>
  </w:style>
  <w:style w:type="paragraph" w:styleId="28">
    <w:name w:val="index 9"/>
    <w:basedOn w:val="1"/>
    <w:next w:val="1"/>
    <w:qFormat/>
    <w:uiPriority w:val="0"/>
    <w:pPr>
      <w:ind w:left="1890" w:hanging="210"/>
      <w:jc w:val="left"/>
    </w:pPr>
    <w:rPr>
      <w:rFonts w:ascii="Calibri" w:hAnsi="Calibri"/>
      <w:sz w:val="20"/>
      <w:szCs w:val="20"/>
    </w:rPr>
  </w:style>
  <w:style w:type="paragraph" w:styleId="29">
    <w:name w:val="toc 2"/>
    <w:basedOn w:val="1"/>
    <w:next w:val="1"/>
    <w:semiHidden/>
    <w:qFormat/>
    <w:uiPriority w:val="0"/>
    <w:pPr>
      <w:tabs>
        <w:tab w:val="right" w:leader="dot" w:pos="9241"/>
      </w:tabs>
    </w:pPr>
    <w:rPr>
      <w:rFonts w:ascii="宋体"/>
      <w:szCs w:val="21"/>
    </w:rPr>
  </w:style>
  <w:style w:type="paragraph" w:styleId="30">
    <w:name w:val="toc 9"/>
    <w:basedOn w:val="1"/>
    <w:next w:val="1"/>
    <w:semiHidden/>
    <w:qFormat/>
    <w:uiPriority w:val="0"/>
    <w:pPr>
      <w:ind w:left="1470"/>
      <w:jc w:val="left"/>
    </w:pPr>
    <w:rPr>
      <w:sz w:val="20"/>
      <w:szCs w:val="20"/>
    </w:rPr>
  </w:style>
  <w:style w:type="paragraph" w:styleId="3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32">
    <w:name w:val="index 2"/>
    <w:basedOn w:val="1"/>
    <w:next w:val="1"/>
    <w:qFormat/>
    <w:uiPriority w:val="0"/>
    <w:pPr>
      <w:ind w:left="420" w:hanging="210"/>
      <w:jc w:val="left"/>
    </w:pPr>
    <w:rPr>
      <w:rFonts w:ascii="Calibri" w:hAnsi="Calibri"/>
      <w:sz w:val="20"/>
      <w:szCs w:val="20"/>
    </w:rPr>
  </w:style>
  <w:style w:type="paragraph" w:styleId="33">
    <w:name w:val="annotation subject"/>
    <w:basedOn w:val="10"/>
    <w:next w:val="10"/>
    <w:link w:val="179"/>
    <w:semiHidden/>
    <w:unhideWhenUsed/>
    <w:qFormat/>
    <w:uiPriority w:val="99"/>
    <w:rPr>
      <w:b/>
      <w:bCs/>
    </w:rPr>
  </w:style>
  <w:style w:type="table" w:styleId="35">
    <w:name w:val="Table Grid"/>
    <w:basedOn w:val="34"/>
    <w:qFormat/>
    <w:uiPriority w:val="3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endnote reference"/>
    <w:basedOn w:val="36"/>
    <w:semiHidden/>
    <w:qFormat/>
    <w:uiPriority w:val="0"/>
    <w:rPr>
      <w:vertAlign w:val="superscript"/>
    </w:rPr>
  </w:style>
  <w:style w:type="character" w:styleId="38">
    <w:name w:val="page number"/>
    <w:basedOn w:val="36"/>
    <w:qFormat/>
    <w:uiPriority w:val="0"/>
    <w:rPr>
      <w:rFonts w:ascii="Times New Roman" w:hAnsi="Times New Roman" w:eastAsia="宋体"/>
      <w:sz w:val="18"/>
    </w:rPr>
  </w:style>
  <w:style w:type="character" w:styleId="39">
    <w:name w:val="FollowedHyperlink"/>
    <w:basedOn w:val="36"/>
    <w:qFormat/>
    <w:uiPriority w:val="0"/>
    <w:rPr>
      <w:color w:val="800080"/>
      <w:u w:val="single"/>
    </w:rPr>
  </w:style>
  <w:style w:type="character" w:styleId="40">
    <w:name w:val="Hyperlink"/>
    <w:basedOn w:val="36"/>
    <w:qFormat/>
    <w:uiPriority w:val="99"/>
    <w:rPr>
      <w:color w:val="0000FF"/>
      <w:spacing w:val="0"/>
      <w:w w:val="100"/>
      <w:szCs w:val="21"/>
      <w:u w:val="single"/>
    </w:rPr>
  </w:style>
  <w:style w:type="character" w:styleId="41">
    <w:name w:val="annotation reference"/>
    <w:basedOn w:val="36"/>
    <w:semiHidden/>
    <w:unhideWhenUsed/>
    <w:qFormat/>
    <w:uiPriority w:val="99"/>
    <w:rPr>
      <w:sz w:val="21"/>
      <w:szCs w:val="21"/>
    </w:rPr>
  </w:style>
  <w:style w:type="character" w:styleId="42">
    <w:name w:val="footnote reference"/>
    <w:basedOn w:val="36"/>
    <w:semiHidden/>
    <w:qFormat/>
    <w:uiPriority w:val="0"/>
    <w:rPr>
      <w:vertAlign w:val="superscript"/>
    </w:rPr>
  </w:style>
  <w:style w:type="character" w:customStyle="1" w:styleId="43">
    <w:name w:val="标题 3 字符"/>
    <w:basedOn w:val="36"/>
    <w:link w:val="3"/>
    <w:semiHidden/>
    <w:qFormat/>
    <w:uiPriority w:val="0"/>
    <w:rPr>
      <w:rFonts w:ascii="Times New Roman" w:hAnsi="Times New Roman" w:eastAsia="宋体" w:cs="Times New Roman"/>
      <w:b/>
      <w:bCs/>
      <w:sz w:val="32"/>
      <w:szCs w:val="32"/>
    </w:rPr>
  </w:style>
  <w:style w:type="character" w:customStyle="1" w:styleId="44">
    <w:name w:val="文档结构图 字符"/>
    <w:basedOn w:val="36"/>
    <w:link w:val="9"/>
    <w:semiHidden/>
    <w:qFormat/>
    <w:uiPriority w:val="0"/>
    <w:rPr>
      <w:rFonts w:ascii="Times New Roman" w:hAnsi="Times New Roman" w:eastAsia="宋体" w:cs="Times New Roman"/>
      <w:szCs w:val="24"/>
      <w:shd w:val="clear" w:color="auto" w:fill="000080"/>
    </w:rPr>
  </w:style>
  <w:style w:type="character" w:customStyle="1" w:styleId="45">
    <w:name w:val="尾注文本 字符"/>
    <w:basedOn w:val="36"/>
    <w:link w:val="18"/>
    <w:semiHidden/>
    <w:qFormat/>
    <w:uiPriority w:val="0"/>
    <w:rPr>
      <w:rFonts w:ascii="Times New Roman" w:hAnsi="Times New Roman" w:eastAsia="宋体" w:cs="Times New Roman"/>
      <w:szCs w:val="24"/>
    </w:rPr>
  </w:style>
  <w:style w:type="character" w:customStyle="1" w:styleId="46">
    <w:name w:val="页脚 字符"/>
    <w:basedOn w:val="36"/>
    <w:link w:val="19"/>
    <w:qFormat/>
    <w:uiPriority w:val="0"/>
    <w:rPr>
      <w:rFonts w:ascii="Times New Roman" w:hAnsi="Times New Roman" w:eastAsia="宋体" w:cs="Times New Roman"/>
      <w:sz w:val="18"/>
      <w:szCs w:val="18"/>
    </w:rPr>
  </w:style>
  <w:style w:type="character" w:customStyle="1" w:styleId="47">
    <w:name w:val="页眉 字符"/>
    <w:basedOn w:val="36"/>
    <w:link w:val="20"/>
    <w:qFormat/>
    <w:uiPriority w:val="0"/>
    <w:rPr>
      <w:rFonts w:ascii="Times New Roman" w:hAnsi="Times New Roman" w:eastAsia="宋体" w:cs="Times New Roman"/>
      <w:sz w:val="18"/>
      <w:szCs w:val="18"/>
    </w:rPr>
  </w:style>
  <w:style w:type="paragraph" w:customStyle="1" w:styleId="48">
    <w:name w:val="段"/>
    <w:link w:val="50"/>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49">
    <w:name w:val="脚注文本 字符"/>
    <w:basedOn w:val="36"/>
    <w:link w:val="25"/>
    <w:qFormat/>
    <w:uiPriority w:val="0"/>
    <w:rPr>
      <w:rFonts w:ascii="宋体"/>
      <w:kern w:val="2"/>
      <w:sz w:val="18"/>
      <w:szCs w:val="18"/>
    </w:rPr>
  </w:style>
  <w:style w:type="character" w:customStyle="1" w:styleId="50">
    <w:name w:val="段 Char"/>
    <w:basedOn w:val="36"/>
    <w:link w:val="48"/>
    <w:qFormat/>
    <w:uiPriority w:val="0"/>
    <w:rPr>
      <w:rFonts w:ascii="宋体" w:hAnsi="Times New Roman" w:eastAsia="宋体" w:cs="Times New Roman"/>
      <w:kern w:val="0"/>
      <w:szCs w:val="20"/>
    </w:rPr>
  </w:style>
  <w:style w:type="paragraph" w:customStyle="1" w:styleId="51">
    <w:name w:val="一级条标题"/>
    <w:next w:val="48"/>
    <w:link w:val="147"/>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52">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53">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54">
    <w:name w:val="章标题"/>
    <w:next w:val="48"/>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55">
    <w:name w:val="二级条标题"/>
    <w:basedOn w:val="51"/>
    <w:next w:val="48"/>
    <w:qFormat/>
    <w:uiPriority w:val="0"/>
    <w:pPr>
      <w:numPr>
        <w:ilvl w:val="2"/>
      </w:numPr>
      <w:spacing w:before="50" w:after="50"/>
      <w:outlineLvl w:val="3"/>
    </w:pPr>
  </w:style>
  <w:style w:type="paragraph" w:customStyle="1" w:styleId="56">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57">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58">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59">
    <w:name w:val="目次、标准名称标题"/>
    <w:basedOn w:val="1"/>
    <w:next w:val="48"/>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60">
    <w:name w:val="三级条标题"/>
    <w:basedOn w:val="55"/>
    <w:next w:val="48"/>
    <w:qFormat/>
    <w:uiPriority w:val="0"/>
    <w:pPr>
      <w:numPr>
        <w:ilvl w:val="0"/>
        <w:numId w:val="0"/>
      </w:numPr>
      <w:outlineLvl w:val="4"/>
    </w:pPr>
  </w:style>
  <w:style w:type="paragraph" w:customStyle="1" w:styleId="61">
    <w:name w:val="示例"/>
    <w:next w:val="62"/>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62">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63">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64">
    <w:name w:val="四级条标题"/>
    <w:basedOn w:val="60"/>
    <w:next w:val="48"/>
    <w:qFormat/>
    <w:uiPriority w:val="0"/>
    <w:pPr>
      <w:numPr>
        <w:ilvl w:val="4"/>
        <w:numId w:val="2"/>
      </w:numPr>
      <w:outlineLvl w:val="5"/>
    </w:pPr>
  </w:style>
  <w:style w:type="paragraph" w:customStyle="1" w:styleId="65">
    <w:name w:val="五级条标题"/>
    <w:basedOn w:val="64"/>
    <w:next w:val="48"/>
    <w:qFormat/>
    <w:uiPriority w:val="0"/>
    <w:pPr>
      <w:numPr>
        <w:ilvl w:val="5"/>
      </w:numPr>
      <w:outlineLvl w:val="6"/>
    </w:pPr>
  </w:style>
  <w:style w:type="paragraph" w:customStyle="1" w:styleId="66">
    <w:name w:val="注："/>
    <w:next w:val="48"/>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67">
    <w:name w:val="注×："/>
    <w:qFormat/>
    <w:uiPriority w:val="0"/>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paragraph" w:customStyle="1" w:styleId="68">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69">
    <w:name w:val="列项◆（三级）"/>
    <w:basedOn w:val="1"/>
    <w:qFormat/>
    <w:uiPriority w:val="0"/>
    <w:pPr>
      <w:numPr>
        <w:ilvl w:val="2"/>
        <w:numId w:val="3"/>
      </w:numPr>
    </w:pPr>
    <w:rPr>
      <w:rFonts w:ascii="宋体"/>
      <w:szCs w:val="21"/>
    </w:rPr>
  </w:style>
  <w:style w:type="paragraph" w:customStyle="1" w:styleId="70">
    <w:name w:val="编号列项（三级）"/>
    <w:qFormat/>
    <w:uiPriority w:val="0"/>
    <w:rPr>
      <w:rFonts w:ascii="宋体" w:hAnsi="Times New Roman" w:eastAsia="宋体" w:cs="Times New Roman"/>
      <w:sz w:val="21"/>
      <w:lang w:val="en-US" w:eastAsia="zh-CN" w:bidi="ar-SA"/>
    </w:rPr>
  </w:style>
  <w:style w:type="paragraph" w:customStyle="1" w:styleId="71">
    <w:name w:val="示例×："/>
    <w:basedOn w:val="54"/>
    <w:qFormat/>
    <w:uiPriority w:val="0"/>
    <w:pPr>
      <w:numPr>
        <w:numId w:val="8"/>
      </w:numPr>
      <w:spacing w:beforeLines="0" w:afterLines="0"/>
      <w:outlineLvl w:val="9"/>
    </w:pPr>
    <w:rPr>
      <w:rFonts w:ascii="宋体" w:eastAsia="宋体"/>
      <w:sz w:val="18"/>
      <w:szCs w:val="18"/>
    </w:rPr>
  </w:style>
  <w:style w:type="paragraph" w:customStyle="1" w:styleId="72">
    <w:name w:val="二级无"/>
    <w:basedOn w:val="55"/>
    <w:link w:val="151"/>
    <w:qFormat/>
    <w:uiPriority w:val="0"/>
    <w:pPr>
      <w:spacing w:beforeLines="0" w:afterLines="0"/>
    </w:pPr>
    <w:rPr>
      <w:rFonts w:ascii="宋体" w:eastAsia="宋体"/>
    </w:rPr>
  </w:style>
  <w:style w:type="paragraph" w:customStyle="1" w:styleId="73">
    <w:name w:val="注：（正文）"/>
    <w:basedOn w:val="66"/>
    <w:next w:val="48"/>
    <w:qFormat/>
    <w:uiPriority w:val="0"/>
    <w:pPr>
      <w:numPr>
        <w:ilvl w:val="0"/>
        <w:numId w:val="9"/>
      </w:numPr>
    </w:pPr>
  </w:style>
  <w:style w:type="paragraph" w:customStyle="1" w:styleId="74">
    <w:name w:val="注×：（正文）"/>
    <w:qFormat/>
    <w:uiPriority w:val="0"/>
    <w:pPr>
      <w:numPr>
        <w:ilvl w:val="0"/>
        <w:numId w:val="10"/>
      </w:numPr>
      <w:jc w:val="both"/>
    </w:pPr>
    <w:rPr>
      <w:rFonts w:ascii="宋体" w:hAnsi="Times New Roman" w:eastAsia="宋体" w:cs="Times New Roman"/>
      <w:sz w:val="18"/>
      <w:szCs w:val="18"/>
      <w:lang w:val="en-US" w:eastAsia="zh-CN" w:bidi="ar-SA"/>
    </w:rPr>
  </w:style>
  <w:style w:type="paragraph" w:customStyle="1" w:styleId="75">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6">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7">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78">
    <w:name w:val="标准书眉_偶数页"/>
    <w:basedOn w:val="53"/>
    <w:next w:val="1"/>
    <w:qFormat/>
    <w:uiPriority w:val="0"/>
    <w:pPr>
      <w:jc w:val="left"/>
    </w:pPr>
  </w:style>
  <w:style w:type="paragraph" w:customStyle="1" w:styleId="79">
    <w:name w:val="标准书眉一"/>
    <w:qFormat/>
    <w:uiPriority w:val="0"/>
    <w:pPr>
      <w:jc w:val="both"/>
    </w:pPr>
    <w:rPr>
      <w:rFonts w:ascii="Times New Roman" w:hAnsi="Times New Roman" w:eastAsia="宋体" w:cs="Times New Roman"/>
      <w:lang w:val="en-US" w:eastAsia="zh-CN" w:bidi="ar-SA"/>
    </w:rPr>
  </w:style>
  <w:style w:type="paragraph" w:customStyle="1" w:styleId="80">
    <w:name w:val="参考文献"/>
    <w:basedOn w:val="1"/>
    <w:next w:val="4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81">
    <w:name w:val="参考文献、索引标题"/>
    <w:basedOn w:val="1"/>
    <w:next w:val="48"/>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82">
    <w:name w:val="发布"/>
    <w:basedOn w:val="36"/>
    <w:qFormat/>
    <w:uiPriority w:val="0"/>
    <w:rPr>
      <w:rFonts w:ascii="黑体" w:eastAsia="黑体"/>
      <w:spacing w:val="85"/>
      <w:w w:val="100"/>
      <w:position w:val="3"/>
      <w:sz w:val="28"/>
      <w:szCs w:val="28"/>
    </w:rPr>
  </w:style>
  <w:style w:type="paragraph" w:customStyle="1" w:styleId="83">
    <w:name w:val="发布部门"/>
    <w:next w:val="48"/>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4">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85">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6">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7">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8">
    <w:name w:val="封面标准英文名称"/>
    <w:basedOn w:val="87"/>
    <w:qFormat/>
    <w:uiPriority w:val="0"/>
    <w:pPr>
      <w:framePr w:wrap="around"/>
      <w:spacing w:before="370" w:line="400" w:lineRule="exact"/>
    </w:pPr>
    <w:rPr>
      <w:rFonts w:ascii="Times New Roman"/>
      <w:sz w:val="28"/>
      <w:szCs w:val="28"/>
    </w:rPr>
  </w:style>
  <w:style w:type="paragraph" w:customStyle="1" w:styleId="89">
    <w:name w:val="封面一致性程度标识"/>
    <w:basedOn w:val="88"/>
    <w:qFormat/>
    <w:uiPriority w:val="0"/>
    <w:pPr>
      <w:framePr w:wrap="around"/>
      <w:spacing w:before="440"/>
    </w:pPr>
    <w:rPr>
      <w:rFonts w:ascii="宋体" w:eastAsia="宋体"/>
    </w:rPr>
  </w:style>
  <w:style w:type="paragraph" w:customStyle="1" w:styleId="90">
    <w:name w:val="封面标准文稿类别"/>
    <w:basedOn w:val="89"/>
    <w:qFormat/>
    <w:uiPriority w:val="0"/>
    <w:pPr>
      <w:framePr w:wrap="around"/>
      <w:spacing w:after="160" w:line="240" w:lineRule="auto"/>
    </w:pPr>
    <w:rPr>
      <w:sz w:val="24"/>
    </w:rPr>
  </w:style>
  <w:style w:type="paragraph" w:customStyle="1" w:styleId="91">
    <w:name w:val="封面标准文稿编辑信息"/>
    <w:basedOn w:val="90"/>
    <w:qFormat/>
    <w:uiPriority w:val="0"/>
    <w:pPr>
      <w:framePr w:wrap="around"/>
      <w:spacing w:before="180" w:line="180" w:lineRule="exact"/>
    </w:pPr>
    <w:rPr>
      <w:sz w:val="21"/>
    </w:rPr>
  </w:style>
  <w:style w:type="paragraph" w:customStyle="1" w:styleId="92">
    <w:name w:val="封面正文"/>
    <w:qFormat/>
    <w:uiPriority w:val="0"/>
    <w:pPr>
      <w:jc w:val="both"/>
    </w:pPr>
    <w:rPr>
      <w:rFonts w:ascii="Times New Roman" w:hAnsi="Times New Roman" w:eastAsia="宋体" w:cs="Times New Roman"/>
      <w:lang w:val="en-US" w:eastAsia="zh-CN" w:bidi="ar-SA"/>
    </w:rPr>
  </w:style>
  <w:style w:type="paragraph" w:customStyle="1" w:styleId="93">
    <w:name w:val="附录标识"/>
    <w:basedOn w:val="1"/>
    <w:next w:val="48"/>
    <w:qFormat/>
    <w:uiPriority w:val="0"/>
    <w:pPr>
      <w:keepNext/>
      <w:widowControl/>
      <w:numPr>
        <w:ilvl w:val="0"/>
        <w:numId w:val="1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94">
    <w:name w:val="附录标题"/>
    <w:basedOn w:val="48"/>
    <w:next w:val="48"/>
    <w:qFormat/>
    <w:uiPriority w:val="0"/>
    <w:pPr>
      <w:ind w:firstLine="0" w:firstLineChars="0"/>
      <w:jc w:val="center"/>
    </w:pPr>
    <w:rPr>
      <w:rFonts w:ascii="黑体" w:eastAsia="黑体"/>
    </w:rPr>
  </w:style>
  <w:style w:type="paragraph" w:customStyle="1" w:styleId="95">
    <w:name w:val="附录表标号"/>
    <w:basedOn w:val="1"/>
    <w:next w:val="48"/>
    <w:qFormat/>
    <w:uiPriority w:val="0"/>
    <w:pPr>
      <w:numPr>
        <w:ilvl w:val="0"/>
        <w:numId w:val="12"/>
      </w:numPr>
      <w:tabs>
        <w:tab w:val="clear" w:pos="0"/>
      </w:tabs>
      <w:spacing w:line="14" w:lineRule="exact"/>
      <w:ind w:left="811" w:hanging="448"/>
      <w:jc w:val="center"/>
      <w:outlineLvl w:val="0"/>
    </w:pPr>
    <w:rPr>
      <w:color w:val="FFFFFF"/>
    </w:rPr>
  </w:style>
  <w:style w:type="paragraph" w:customStyle="1" w:styleId="96">
    <w:name w:val="附录表标题"/>
    <w:basedOn w:val="1"/>
    <w:next w:val="48"/>
    <w:qFormat/>
    <w:uiPriority w:val="0"/>
    <w:pPr>
      <w:numPr>
        <w:ilvl w:val="1"/>
        <w:numId w:val="12"/>
      </w:numPr>
      <w:tabs>
        <w:tab w:val="left" w:pos="180"/>
      </w:tabs>
      <w:spacing w:beforeLines="50" w:afterLines="50"/>
      <w:ind w:left="0" w:firstLine="0"/>
      <w:jc w:val="center"/>
    </w:pPr>
    <w:rPr>
      <w:rFonts w:ascii="黑体" w:eastAsia="黑体"/>
      <w:szCs w:val="21"/>
    </w:rPr>
  </w:style>
  <w:style w:type="paragraph" w:customStyle="1" w:styleId="97">
    <w:name w:val="附录二级条标题"/>
    <w:basedOn w:val="1"/>
    <w:next w:val="48"/>
    <w:qFormat/>
    <w:uiPriority w:val="0"/>
    <w:pPr>
      <w:widowControl/>
      <w:numPr>
        <w:ilvl w:val="3"/>
        <w:numId w:val="1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8">
    <w:name w:val="附录二级无"/>
    <w:basedOn w:val="97"/>
    <w:qFormat/>
    <w:uiPriority w:val="0"/>
    <w:pPr>
      <w:tabs>
        <w:tab w:val="clear" w:pos="360"/>
      </w:tabs>
      <w:spacing w:beforeLines="0" w:afterLines="0"/>
    </w:pPr>
    <w:rPr>
      <w:rFonts w:ascii="宋体" w:eastAsia="宋体"/>
      <w:szCs w:val="21"/>
    </w:rPr>
  </w:style>
  <w:style w:type="paragraph" w:customStyle="1" w:styleId="99">
    <w:name w:val="附录公式"/>
    <w:basedOn w:val="48"/>
    <w:next w:val="48"/>
    <w:link w:val="100"/>
    <w:qFormat/>
    <w:uiPriority w:val="0"/>
  </w:style>
  <w:style w:type="character" w:customStyle="1" w:styleId="100">
    <w:name w:val="附录公式 Char"/>
    <w:basedOn w:val="50"/>
    <w:link w:val="99"/>
    <w:qFormat/>
    <w:uiPriority w:val="0"/>
    <w:rPr>
      <w:rFonts w:ascii="宋体" w:hAnsi="Times New Roman" w:eastAsia="宋体" w:cs="Times New Roman"/>
      <w:kern w:val="0"/>
      <w:szCs w:val="20"/>
    </w:rPr>
  </w:style>
  <w:style w:type="paragraph" w:customStyle="1" w:styleId="101">
    <w:name w:val="附录公式编号制表符"/>
    <w:basedOn w:val="1"/>
    <w:next w:val="48"/>
    <w:qFormat/>
    <w:uiPriority w:val="0"/>
    <w:pPr>
      <w:widowControl/>
      <w:tabs>
        <w:tab w:val="center" w:pos="4201"/>
        <w:tab w:val="right" w:leader="dot" w:pos="9298"/>
      </w:tabs>
      <w:autoSpaceDE w:val="0"/>
      <w:autoSpaceDN w:val="0"/>
    </w:pPr>
    <w:rPr>
      <w:rFonts w:ascii="宋体"/>
      <w:kern w:val="0"/>
      <w:szCs w:val="20"/>
    </w:rPr>
  </w:style>
  <w:style w:type="paragraph" w:customStyle="1" w:styleId="102">
    <w:name w:val="附录三级条标题"/>
    <w:basedOn w:val="97"/>
    <w:next w:val="48"/>
    <w:qFormat/>
    <w:uiPriority w:val="0"/>
    <w:pPr>
      <w:numPr>
        <w:ilvl w:val="4"/>
      </w:numPr>
      <w:outlineLvl w:val="4"/>
    </w:pPr>
  </w:style>
  <w:style w:type="paragraph" w:customStyle="1" w:styleId="103">
    <w:name w:val="附录三级无"/>
    <w:basedOn w:val="102"/>
    <w:qFormat/>
    <w:uiPriority w:val="0"/>
    <w:pPr>
      <w:tabs>
        <w:tab w:val="clear" w:pos="360"/>
      </w:tabs>
      <w:spacing w:beforeLines="0" w:afterLines="0"/>
    </w:pPr>
    <w:rPr>
      <w:rFonts w:ascii="宋体" w:eastAsia="宋体"/>
      <w:szCs w:val="21"/>
    </w:rPr>
  </w:style>
  <w:style w:type="paragraph" w:customStyle="1" w:styleId="104">
    <w:name w:val="附录数字编号列项（二级）"/>
    <w:qFormat/>
    <w:uiPriority w:val="0"/>
    <w:pPr>
      <w:numPr>
        <w:ilvl w:val="1"/>
        <w:numId w:val="13"/>
      </w:numPr>
    </w:pPr>
    <w:rPr>
      <w:rFonts w:ascii="宋体" w:hAnsi="Times New Roman" w:eastAsia="宋体" w:cs="Times New Roman"/>
      <w:sz w:val="21"/>
      <w:lang w:val="en-US" w:eastAsia="zh-CN" w:bidi="ar-SA"/>
    </w:rPr>
  </w:style>
  <w:style w:type="paragraph" w:customStyle="1" w:styleId="105">
    <w:name w:val="附录四级条标题"/>
    <w:basedOn w:val="102"/>
    <w:next w:val="48"/>
    <w:qFormat/>
    <w:uiPriority w:val="0"/>
    <w:pPr>
      <w:numPr>
        <w:ilvl w:val="5"/>
      </w:numPr>
      <w:outlineLvl w:val="5"/>
    </w:pPr>
  </w:style>
  <w:style w:type="paragraph" w:customStyle="1" w:styleId="106">
    <w:name w:val="附录四级无"/>
    <w:basedOn w:val="105"/>
    <w:qFormat/>
    <w:uiPriority w:val="0"/>
    <w:pPr>
      <w:tabs>
        <w:tab w:val="clear" w:pos="360"/>
      </w:tabs>
      <w:spacing w:beforeLines="0" w:afterLines="0"/>
    </w:pPr>
    <w:rPr>
      <w:rFonts w:ascii="宋体" w:eastAsia="宋体"/>
      <w:szCs w:val="21"/>
    </w:rPr>
  </w:style>
  <w:style w:type="paragraph" w:customStyle="1" w:styleId="107">
    <w:name w:val="附录图标号"/>
    <w:basedOn w:val="1"/>
    <w:qFormat/>
    <w:uiPriority w:val="0"/>
    <w:pPr>
      <w:keepNext/>
      <w:pageBreakBefore/>
      <w:widowControl/>
      <w:numPr>
        <w:ilvl w:val="0"/>
        <w:numId w:val="14"/>
      </w:numPr>
      <w:spacing w:line="14" w:lineRule="exact"/>
      <w:ind w:left="0" w:firstLine="363"/>
      <w:jc w:val="center"/>
      <w:outlineLvl w:val="0"/>
    </w:pPr>
    <w:rPr>
      <w:color w:val="FFFFFF"/>
    </w:rPr>
  </w:style>
  <w:style w:type="paragraph" w:customStyle="1" w:styleId="108">
    <w:name w:val="附录图标题"/>
    <w:basedOn w:val="1"/>
    <w:next w:val="48"/>
    <w:qFormat/>
    <w:uiPriority w:val="0"/>
    <w:pPr>
      <w:numPr>
        <w:ilvl w:val="1"/>
        <w:numId w:val="14"/>
      </w:numPr>
      <w:tabs>
        <w:tab w:val="left" w:pos="363"/>
      </w:tabs>
      <w:spacing w:beforeLines="50" w:afterLines="50"/>
      <w:ind w:left="0" w:firstLine="0"/>
      <w:jc w:val="center"/>
    </w:pPr>
    <w:rPr>
      <w:rFonts w:ascii="黑体" w:eastAsia="黑体"/>
      <w:szCs w:val="21"/>
    </w:rPr>
  </w:style>
  <w:style w:type="paragraph" w:customStyle="1" w:styleId="109">
    <w:name w:val="附录五级条标题"/>
    <w:basedOn w:val="105"/>
    <w:next w:val="48"/>
    <w:qFormat/>
    <w:uiPriority w:val="0"/>
    <w:pPr>
      <w:numPr>
        <w:ilvl w:val="6"/>
      </w:numPr>
      <w:outlineLvl w:val="6"/>
    </w:pPr>
  </w:style>
  <w:style w:type="paragraph" w:customStyle="1" w:styleId="110">
    <w:name w:val="附录五级无"/>
    <w:basedOn w:val="109"/>
    <w:qFormat/>
    <w:uiPriority w:val="0"/>
    <w:pPr>
      <w:tabs>
        <w:tab w:val="clear" w:pos="360"/>
      </w:tabs>
      <w:spacing w:beforeLines="0" w:afterLines="0"/>
    </w:pPr>
    <w:rPr>
      <w:rFonts w:ascii="宋体" w:eastAsia="宋体"/>
      <w:szCs w:val="21"/>
    </w:rPr>
  </w:style>
  <w:style w:type="paragraph" w:customStyle="1" w:styleId="111">
    <w:name w:val="附录章标题"/>
    <w:next w:val="48"/>
    <w:qFormat/>
    <w:uiPriority w:val="0"/>
    <w:pPr>
      <w:numPr>
        <w:ilvl w:val="1"/>
        <w:numId w:val="11"/>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12">
    <w:name w:val="附录一级条标题"/>
    <w:basedOn w:val="111"/>
    <w:next w:val="48"/>
    <w:qFormat/>
    <w:uiPriority w:val="0"/>
    <w:pPr>
      <w:numPr>
        <w:ilvl w:val="2"/>
      </w:numPr>
      <w:autoSpaceDN w:val="0"/>
      <w:spacing w:beforeLines="50" w:afterLines="50"/>
      <w:outlineLvl w:val="2"/>
    </w:pPr>
  </w:style>
  <w:style w:type="paragraph" w:customStyle="1" w:styleId="113">
    <w:name w:val="附录一级无"/>
    <w:basedOn w:val="112"/>
    <w:qFormat/>
    <w:uiPriority w:val="0"/>
    <w:pPr>
      <w:tabs>
        <w:tab w:val="clear" w:pos="360"/>
      </w:tabs>
      <w:spacing w:beforeLines="0" w:afterLines="0"/>
    </w:pPr>
    <w:rPr>
      <w:rFonts w:ascii="宋体" w:eastAsia="宋体"/>
      <w:szCs w:val="21"/>
    </w:rPr>
  </w:style>
  <w:style w:type="paragraph" w:customStyle="1" w:styleId="114">
    <w:name w:val="附录字母编号列项（一级）"/>
    <w:qFormat/>
    <w:uiPriority w:val="0"/>
    <w:pPr>
      <w:numPr>
        <w:ilvl w:val="0"/>
        <w:numId w:val="13"/>
      </w:numPr>
    </w:pPr>
    <w:rPr>
      <w:rFonts w:ascii="宋体" w:hAnsi="Times New Roman" w:eastAsia="宋体" w:cs="Times New Roman"/>
      <w:sz w:val="21"/>
      <w:lang w:val="en-US" w:eastAsia="zh-CN" w:bidi="ar-SA"/>
    </w:rPr>
  </w:style>
  <w:style w:type="paragraph" w:customStyle="1" w:styleId="115">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6">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8">
    <w:name w:val="其他标准标志"/>
    <w:basedOn w:val="75"/>
    <w:qFormat/>
    <w:uiPriority w:val="0"/>
    <w:pPr>
      <w:framePr w:w="6101" w:wrap="around" w:vAnchor="page" w:hAnchor="page" w:x="4673" w:y="942"/>
    </w:pPr>
    <w:rPr>
      <w:w w:val="130"/>
    </w:rPr>
  </w:style>
  <w:style w:type="paragraph" w:customStyle="1" w:styleId="119">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20">
    <w:name w:val="其他发布部门"/>
    <w:basedOn w:val="83"/>
    <w:qFormat/>
    <w:uiPriority w:val="0"/>
    <w:pPr>
      <w:framePr w:wrap="around" w:y="15310"/>
      <w:spacing w:line="0" w:lineRule="atLeast"/>
    </w:pPr>
    <w:rPr>
      <w:rFonts w:ascii="黑体" w:eastAsia="黑体"/>
      <w:b w:val="0"/>
    </w:rPr>
  </w:style>
  <w:style w:type="paragraph" w:customStyle="1" w:styleId="121">
    <w:name w:val="前言、引言标题"/>
    <w:next w:val="48"/>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22">
    <w:name w:val="三级无"/>
    <w:basedOn w:val="60"/>
    <w:qFormat/>
    <w:uiPriority w:val="0"/>
    <w:pPr>
      <w:spacing w:beforeLines="0" w:afterLines="0"/>
    </w:pPr>
    <w:rPr>
      <w:rFonts w:ascii="宋体" w:eastAsia="宋体"/>
    </w:rPr>
  </w:style>
  <w:style w:type="paragraph" w:customStyle="1" w:styleId="123">
    <w:name w:val="实施日期"/>
    <w:basedOn w:val="84"/>
    <w:qFormat/>
    <w:uiPriority w:val="0"/>
    <w:pPr>
      <w:framePr w:wrap="around" w:vAnchor="page" w:hAnchor="text"/>
      <w:jc w:val="right"/>
    </w:pPr>
  </w:style>
  <w:style w:type="paragraph" w:customStyle="1" w:styleId="124">
    <w:name w:val="示例后文字"/>
    <w:basedOn w:val="48"/>
    <w:next w:val="48"/>
    <w:qFormat/>
    <w:uiPriority w:val="0"/>
    <w:pPr>
      <w:ind w:firstLine="360"/>
    </w:pPr>
    <w:rPr>
      <w:sz w:val="18"/>
    </w:rPr>
  </w:style>
  <w:style w:type="paragraph" w:customStyle="1" w:styleId="125">
    <w:name w:val="首示例"/>
    <w:next w:val="48"/>
    <w:link w:val="126"/>
    <w:qFormat/>
    <w:uiPriority w:val="0"/>
    <w:pPr>
      <w:tabs>
        <w:tab w:val="left" w:pos="360"/>
      </w:tabs>
    </w:pPr>
    <w:rPr>
      <w:rFonts w:ascii="宋体" w:hAnsi="宋体" w:eastAsia="宋体" w:cs="Times New Roman"/>
      <w:kern w:val="2"/>
      <w:sz w:val="18"/>
      <w:szCs w:val="18"/>
      <w:lang w:val="en-US" w:eastAsia="zh-CN" w:bidi="ar-SA"/>
    </w:rPr>
  </w:style>
  <w:style w:type="character" w:customStyle="1" w:styleId="126">
    <w:name w:val="首示例 Char"/>
    <w:basedOn w:val="36"/>
    <w:link w:val="125"/>
    <w:qFormat/>
    <w:uiPriority w:val="0"/>
    <w:rPr>
      <w:rFonts w:ascii="宋体" w:hAnsi="宋体" w:eastAsia="宋体" w:cs="Times New Roman"/>
      <w:sz w:val="18"/>
      <w:szCs w:val="18"/>
    </w:rPr>
  </w:style>
  <w:style w:type="paragraph" w:customStyle="1" w:styleId="127">
    <w:name w:val="四级无"/>
    <w:basedOn w:val="64"/>
    <w:qFormat/>
    <w:uiPriority w:val="0"/>
    <w:pPr>
      <w:spacing w:beforeLines="0" w:afterLines="0"/>
    </w:pPr>
    <w:rPr>
      <w:rFonts w:ascii="宋体" w:eastAsia="宋体"/>
    </w:rPr>
  </w:style>
  <w:style w:type="paragraph" w:customStyle="1" w:styleId="128">
    <w:name w:val="条文脚注"/>
    <w:basedOn w:val="25"/>
    <w:qFormat/>
    <w:uiPriority w:val="0"/>
    <w:pPr>
      <w:numPr>
        <w:numId w:val="0"/>
      </w:numPr>
      <w:jc w:val="both"/>
    </w:pPr>
  </w:style>
  <w:style w:type="paragraph" w:customStyle="1" w:styleId="129">
    <w:name w:val="图标脚注说明"/>
    <w:basedOn w:val="48"/>
    <w:qFormat/>
    <w:uiPriority w:val="0"/>
    <w:pPr>
      <w:ind w:left="840" w:hanging="420" w:firstLineChars="0"/>
    </w:pPr>
    <w:rPr>
      <w:sz w:val="18"/>
      <w:szCs w:val="18"/>
    </w:rPr>
  </w:style>
  <w:style w:type="paragraph" w:customStyle="1" w:styleId="130">
    <w:name w:val="图表脚注说明"/>
    <w:basedOn w:val="1"/>
    <w:qFormat/>
    <w:uiPriority w:val="0"/>
    <w:pPr>
      <w:ind w:left="544" w:hanging="181"/>
    </w:pPr>
    <w:rPr>
      <w:rFonts w:ascii="宋体"/>
      <w:sz w:val="18"/>
      <w:szCs w:val="18"/>
    </w:rPr>
  </w:style>
  <w:style w:type="paragraph" w:customStyle="1" w:styleId="131">
    <w:name w:val="图的脚注"/>
    <w:next w:val="48"/>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32">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3">
    <w:name w:val="五级无"/>
    <w:basedOn w:val="65"/>
    <w:qFormat/>
    <w:uiPriority w:val="0"/>
    <w:pPr>
      <w:spacing w:beforeLines="0" w:afterLines="0"/>
    </w:pPr>
    <w:rPr>
      <w:rFonts w:ascii="宋体" w:eastAsia="宋体"/>
    </w:rPr>
  </w:style>
  <w:style w:type="paragraph" w:customStyle="1" w:styleId="134">
    <w:name w:val="一级无"/>
    <w:basedOn w:val="51"/>
    <w:qFormat/>
    <w:uiPriority w:val="0"/>
    <w:pPr>
      <w:spacing w:beforeLines="0" w:afterLines="0"/>
    </w:pPr>
    <w:rPr>
      <w:rFonts w:ascii="宋体" w:eastAsia="宋体"/>
    </w:rPr>
  </w:style>
  <w:style w:type="paragraph" w:customStyle="1" w:styleId="135">
    <w:name w:val="正文表标题"/>
    <w:next w:val="48"/>
    <w:link w:val="146"/>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6">
    <w:name w:val="正文公式编号制表符"/>
    <w:basedOn w:val="48"/>
    <w:next w:val="48"/>
    <w:qFormat/>
    <w:uiPriority w:val="0"/>
    <w:pPr>
      <w:ind w:firstLine="0" w:firstLineChars="0"/>
    </w:pPr>
  </w:style>
  <w:style w:type="paragraph" w:customStyle="1" w:styleId="137">
    <w:name w:val="正文图标题"/>
    <w:next w:val="48"/>
    <w:qFormat/>
    <w:uiPriority w:val="0"/>
    <w:pPr>
      <w:numPr>
        <w:ilvl w:val="0"/>
        <w:numId w:val="15"/>
      </w:numPr>
      <w:spacing w:beforeLines="50" w:afterLines="50"/>
      <w:jc w:val="center"/>
    </w:pPr>
    <w:rPr>
      <w:rFonts w:ascii="黑体" w:hAnsi="Times New Roman" w:eastAsia="黑体" w:cs="Times New Roman"/>
      <w:sz w:val="21"/>
      <w:lang w:val="en-US" w:eastAsia="zh-CN" w:bidi="ar-SA"/>
    </w:rPr>
  </w:style>
  <w:style w:type="paragraph" w:customStyle="1" w:styleId="138">
    <w:name w:val="终结线"/>
    <w:basedOn w:val="1"/>
    <w:qFormat/>
    <w:uiPriority w:val="0"/>
    <w:pPr>
      <w:framePr w:hSpace="181" w:vSpace="181" w:wrap="around" w:vAnchor="text" w:hAnchor="margin" w:xAlign="center" w:y="285"/>
    </w:pPr>
  </w:style>
  <w:style w:type="paragraph" w:customStyle="1" w:styleId="139">
    <w:name w:val="其他发布日期"/>
    <w:basedOn w:val="84"/>
    <w:qFormat/>
    <w:uiPriority w:val="0"/>
    <w:pPr>
      <w:framePr w:wrap="around" w:vAnchor="page" w:hAnchor="text" w:x="1419"/>
    </w:pPr>
  </w:style>
  <w:style w:type="paragraph" w:customStyle="1" w:styleId="140">
    <w:name w:val="其他实施日期"/>
    <w:basedOn w:val="123"/>
    <w:qFormat/>
    <w:uiPriority w:val="0"/>
    <w:pPr>
      <w:framePr w:wrap="around"/>
    </w:pPr>
  </w:style>
  <w:style w:type="paragraph" w:customStyle="1" w:styleId="141">
    <w:name w:val="封面标准名称2"/>
    <w:basedOn w:val="87"/>
    <w:qFormat/>
    <w:uiPriority w:val="0"/>
    <w:pPr>
      <w:framePr w:wrap="around" w:y="4469"/>
      <w:spacing w:beforeLines="630"/>
    </w:pPr>
  </w:style>
  <w:style w:type="paragraph" w:customStyle="1" w:styleId="142">
    <w:name w:val="封面标准英文名称2"/>
    <w:basedOn w:val="88"/>
    <w:qFormat/>
    <w:uiPriority w:val="0"/>
    <w:pPr>
      <w:framePr w:wrap="around" w:y="4469"/>
    </w:pPr>
  </w:style>
  <w:style w:type="paragraph" w:customStyle="1" w:styleId="143">
    <w:name w:val="封面一致性程度标识2"/>
    <w:basedOn w:val="89"/>
    <w:qFormat/>
    <w:uiPriority w:val="0"/>
    <w:pPr>
      <w:framePr w:wrap="around" w:y="4469"/>
    </w:pPr>
  </w:style>
  <w:style w:type="paragraph" w:customStyle="1" w:styleId="144">
    <w:name w:val="封面标准文稿类别2"/>
    <w:basedOn w:val="90"/>
    <w:qFormat/>
    <w:uiPriority w:val="0"/>
    <w:pPr>
      <w:framePr w:wrap="around" w:y="4469"/>
    </w:pPr>
  </w:style>
  <w:style w:type="paragraph" w:customStyle="1" w:styleId="145">
    <w:name w:val="封面标准文稿编辑信息2"/>
    <w:basedOn w:val="91"/>
    <w:qFormat/>
    <w:uiPriority w:val="0"/>
    <w:pPr>
      <w:framePr w:wrap="around" w:y="4469"/>
    </w:pPr>
  </w:style>
  <w:style w:type="character" w:customStyle="1" w:styleId="146">
    <w:name w:val="正文表标题 Char Char"/>
    <w:basedOn w:val="36"/>
    <w:link w:val="135"/>
    <w:qFormat/>
    <w:uiPriority w:val="0"/>
    <w:rPr>
      <w:rFonts w:ascii="黑体" w:eastAsia="黑体"/>
      <w:sz w:val="21"/>
    </w:rPr>
  </w:style>
  <w:style w:type="character" w:customStyle="1" w:styleId="147">
    <w:name w:val="一级条标题 Char Char"/>
    <w:basedOn w:val="36"/>
    <w:link w:val="51"/>
    <w:qFormat/>
    <w:uiPriority w:val="0"/>
    <w:rPr>
      <w:rFonts w:ascii="黑体" w:eastAsia="黑体"/>
      <w:sz w:val="21"/>
      <w:szCs w:val="21"/>
    </w:rPr>
  </w:style>
  <w:style w:type="character" w:customStyle="1" w:styleId="148">
    <w:name w:val="段 Char Char"/>
    <w:basedOn w:val="36"/>
    <w:qFormat/>
    <w:uiPriority w:val="0"/>
    <w:rPr>
      <w:rFonts w:ascii="宋体" w:eastAsia="Times New Roman"/>
      <w:sz w:val="21"/>
      <w:lang w:val="en-US" w:eastAsia="zh-CN" w:bidi="ar-SA"/>
    </w:rPr>
  </w:style>
  <w:style w:type="character" w:customStyle="1" w:styleId="149">
    <w:name w:val="15"/>
    <w:basedOn w:val="36"/>
    <w:qFormat/>
    <w:uiPriority w:val="0"/>
    <w:rPr>
      <w:rFonts w:hint="default" w:ascii="Times New Roman" w:hAnsi="Times New Roman" w:cs="Times New Roman"/>
      <w:b/>
      <w:bCs/>
      <w:sz w:val="20"/>
      <w:szCs w:val="20"/>
    </w:rPr>
  </w:style>
  <w:style w:type="character" w:customStyle="1" w:styleId="150">
    <w:name w:val="p10"/>
    <w:basedOn w:val="36"/>
    <w:qFormat/>
    <w:uiPriority w:val="0"/>
  </w:style>
  <w:style w:type="character" w:customStyle="1" w:styleId="151">
    <w:name w:val="二级无 Char Char"/>
    <w:basedOn w:val="36"/>
    <w:link w:val="72"/>
    <w:qFormat/>
    <w:uiPriority w:val="0"/>
    <w:rPr>
      <w:rFonts w:ascii="宋体"/>
      <w:sz w:val="21"/>
      <w:szCs w:val="21"/>
    </w:rPr>
  </w:style>
  <w:style w:type="paragraph" w:customStyle="1" w:styleId="152">
    <w:name w:val="p0"/>
    <w:basedOn w:val="1"/>
    <w:qFormat/>
    <w:uiPriority w:val="0"/>
    <w:pPr>
      <w:widowControl/>
    </w:pPr>
    <w:rPr>
      <w:kern w:val="0"/>
      <w:szCs w:val="21"/>
    </w:rPr>
  </w:style>
  <w:style w:type="paragraph" w:customStyle="1" w:styleId="153">
    <w:name w:val="章"/>
    <w:basedOn w:val="3"/>
    <w:qFormat/>
    <w:uiPriority w:val="0"/>
    <w:pPr>
      <w:spacing w:line="413" w:lineRule="auto"/>
    </w:pPr>
    <w:rPr>
      <w:rFonts w:eastAsia="黑体"/>
      <w:b w:val="0"/>
      <w:sz w:val="21"/>
    </w:rPr>
  </w:style>
  <w:style w:type="paragraph" w:customStyle="1" w:styleId="154">
    <w:name w:val="标准文件_段"/>
    <w:link w:val="155"/>
    <w:qFormat/>
    <w:uiPriority w:val="0"/>
    <w:pPr>
      <w:autoSpaceDE w:val="0"/>
      <w:autoSpaceDN w:val="0"/>
      <w:ind w:firstLine="420" w:firstLineChars="200"/>
    </w:pPr>
    <w:rPr>
      <w:rFonts w:ascii="宋体" w:hAnsi="宋体" w:eastAsia="宋体" w:cs="Times New Roman"/>
      <w:sz w:val="21"/>
      <w:lang w:val="en-US" w:eastAsia="zh-CN" w:bidi="ar-SA"/>
    </w:rPr>
  </w:style>
  <w:style w:type="character" w:customStyle="1" w:styleId="155">
    <w:name w:val="标准文件_段 Char"/>
    <w:link w:val="154"/>
    <w:qFormat/>
    <w:uiPriority w:val="0"/>
    <w:rPr>
      <w:rFonts w:ascii="宋体" w:hAnsi="宋体" w:eastAsia="宋体" w:cs="Times New Roman"/>
      <w:kern w:val="0"/>
      <w:szCs w:val="20"/>
    </w:rPr>
  </w:style>
  <w:style w:type="paragraph" w:customStyle="1" w:styleId="156">
    <w:name w:val="标准文件_二级条标题"/>
    <w:next w:val="154"/>
    <w:qFormat/>
    <w:uiPriority w:val="0"/>
    <w:pPr>
      <w:widowControl w:val="0"/>
      <w:numPr>
        <w:ilvl w:val="3"/>
        <w:numId w:val="16"/>
      </w:numPr>
      <w:spacing w:before="50" w:beforeLines="50" w:after="50" w:afterLines="50"/>
      <w:ind w:left="0"/>
      <w:jc w:val="both"/>
      <w:outlineLvl w:val="2"/>
    </w:pPr>
    <w:rPr>
      <w:rFonts w:ascii="黑体" w:hAnsi="Times New Roman" w:eastAsia="黑体" w:cs="Times New Roman"/>
      <w:sz w:val="21"/>
      <w:lang w:val="en-US" w:eastAsia="zh-CN" w:bidi="ar-SA"/>
    </w:rPr>
  </w:style>
  <w:style w:type="paragraph" w:customStyle="1" w:styleId="157">
    <w:name w:val="标准文件_三级条标题"/>
    <w:basedOn w:val="156"/>
    <w:next w:val="154"/>
    <w:qFormat/>
    <w:uiPriority w:val="0"/>
    <w:pPr>
      <w:widowControl/>
      <w:numPr>
        <w:ilvl w:val="4"/>
      </w:numPr>
      <w:outlineLvl w:val="3"/>
    </w:pPr>
  </w:style>
  <w:style w:type="paragraph" w:customStyle="1" w:styleId="158">
    <w:name w:val="标准文件_四级条标题"/>
    <w:next w:val="154"/>
    <w:qFormat/>
    <w:uiPriority w:val="0"/>
    <w:pPr>
      <w:widowControl w:val="0"/>
      <w:numPr>
        <w:ilvl w:val="5"/>
        <w:numId w:val="16"/>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159">
    <w:name w:val="标准文件_五级条标题"/>
    <w:next w:val="154"/>
    <w:qFormat/>
    <w:uiPriority w:val="0"/>
    <w:pPr>
      <w:widowControl w:val="0"/>
      <w:numPr>
        <w:ilvl w:val="6"/>
        <w:numId w:val="16"/>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60">
    <w:name w:val="标准文件_章标题"/>
    <w:next w:val="154"/>
    <w:qFormat/>
    <w:uiPriority w:val="0"/>
    <w:pPr>
      <w:numPr>
        <w:ilvl w:val="1"/>
        <w:numId w:val="16"/>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61">
    <w:name w:val="标准文件_一级条标题"/>
    <w:basedOn w:val="160"/>
    <w:next w:val="154"/>
    <w:qFormat/>
    <w:uiPriority w:val="0"/>
    <w:pPr>
      <w:numPr>
        <w:ilvl w:val="2"/>
      </w:numPr>
      <w:spacing w:before="156" w:beforeLines="50" w:after="156" w:afterLines="50"/>
      <w:outlineLvl w:val="1"/>
    </w:pPr>
  </w:style>
  <w:style w:type="paragraph" w:customStyle="1" w:styleId="162">
    <w:name w:val="前言标题"/>
    <w:next w:val="1"/>
    <w:qFormat/>
    <w:uiPriority w:val="0"/>
    <w:pPr>
      <w:numPr>
        <w:ilvl w:val="0"/>
        <w:numId w:val="16"/>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3">
    <w:name w:val="标准文件_注："/>
    <w:next w:val="154"/>
    <w:qFormat/>
    <w:uiPriority w:val="0"/>
    <w:pPr>
      <w:widowControl w:val="0"/>
      <w:autoSpaceDE w:val="0"/>
      <w:autoSpaceDN w:val="0"/>
      <w:ind w:left="737" w:hanging="374"/>
      <w:jc w:val="both"/>
    </w:pPr>
    <w:rPr>
      <w:rFonts w:ascii="宋体" w:hAnsi="Times New Roman" w:eastAsia="宋体" w:cs="Times New Roman"/>
      <w:sz w:val="18"/>
      <w:szCs w:val="18"/>
      <w:lang w:val="en-US" w:eastAsia="zh-CN" w:bidi="ar-SA"/>
    </w:rPr>
  </w:style>
  <w:style w:type="paragraph" w:customStyle="1" w:styleId="164">
    <w:name w:val="标准文件_附录标识"/>
    <w:next w:val="154"/>
    <w:qFormat/>
    <w:uiPriority w:val="0"/>
    <w:p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165">
    <w:name w:val="标准文件_附录一级条标题"/>
    <w:next w:val="154"/>
    <w:qFormat/>
    <w:uiPriority w:val="0"/>
    <w:pPr>
      <w:widowControl w:val="0"/>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66">
    <w:name w:val="标准文件_附录二级条标题"/>
    <w:basedOn w:val="165"/>
    <w:next w:val="154"/>
    <w:qFormat/>
    <w:uiPriority w:val="0"/>
    <w:pPr>
      <w:widowControl/>
      <w:wordWrap w:val="0"/>
      <w:overflowPunct w:val="0"/>
      <w:autoSpaceDE w:val="0"/>
      <w:autoSpaceDN w:val="0"/>
      <w:textAlignment w:val="baseline"/>
      <w:outlineLvl w:val="3"/>
    </w:pPr>
  </w:style>
  <w:style w:type="paragraph" w:customStyle="1" w:styleId="167">
    <w:name w:val="标准文件_附录三级条标题"/>
    <w:next w:val="154"/>
    <w:qFormat/>
    <w:uiPriority w:val="0"/>
    <w:pPr>
      <w:widowControl w:val="0"/>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168">
    <w:name w:val="标准文件_附录四级条标题"/>
    <w:next w:val="154"/>
    <w:qFormat/>
    <w:uiPriority w:val="0"/>
    <w:pPr>
      <w:widowControl w:val="0"/>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169">
    <w:name w:val="标准文件_附录图标题"/>
    <w:next w:val="154"/>
    <w:qFormat/>
    <w:uiPriority w:val="0"/>
    <w:pPr>
      <w:numPr>
        <w:ilvl w:val="1"/>
        <w:numId w:val="17"/>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170">
    <w:name w:val="标准文件_附录五级条标题"/>
    <w:next w:val="154"/>
    <w:qFormat/>
    <w:uiPriority w:val="0"/>
    <w:pPr>
      <w:widowControl w:val="0"/>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171">
    <w:name w:val="标准文件_附录英文标识"/>
    <w:next w:val="12"/>
    <w:qFormat/>
    <w:uiPriority w:val="0"/>
    <w:pPr>
      <w:numPr>
        <w:ilvl w:val="0"/>
        <w:numId w:val="18"/>
      </w:numPr>
      <w:tabs>
        <w:tab w:val="left" w:pos="6406"/>
      </w:tabs>
      <w:spacing w:before="220" w:after="320"/>
      <w:jc w:val="center"/>
      <w:outlineLvl w:val="0"/>
    </w:pPr>
    <w:rPr>
      <w:rFonts w:ascii="黑体" w:hAnsi="Times New Roman" w:eastAsia="黑体" w:cs="Times New Roman"/>
      <w:sz w:val="21"/>
      <w:lang w:val="en-US" w:eastAsia="zh-CN" w:bidi="ar-SA"/>
    </w:rPr>
  </w:style>
  <w:style w:type="paragraph" w:customStyle="1" w:styleId="172">
    <w:name w:val="标准文件_附录图标号"/>
    <w:basedOn w:val="154"/>
    <w:next w:val="154"/>
    <w:qFormat/>
    <w:uiPriority w:val="0"/>
    <w:pPr>
      <w:numPr>
        <w:ilvl w:val="0"/>
        <w:numId w:val="17"/>
      </w:numPr>
      <w:spacing w:line="14" w:lineRule="exact"/>
      <w:ind w:firstLine="0" w:firstLineChars="0"/>
      <w:jc w:val="center"/>
    </w:pPr>
    <w:rPr>
      <w:rFonts w:ascii="黑体" w:hAnsi="黑体" w:eastAsia="黑体"/>
      <w:vanish/>
      <w:sz w:val="2"/>
      <w:szCs w:val="21"/>
    </w:rPr>
  </w:style>
  <w:style w:type="character" w:customStyle="1" w:styleId="173">
    <w:name w:val="font11"/>
    <w:basedOn w:val="36"/>
    <w:qFormat/>
    <w:uiPriority w:val="0"/>
    <w:rPr>
      <w:rFonts w:hint="eastAsia" w:ascii="宋体" w:hAnsi="宋体" w:eastAsia="宋体" w:cs="宋体"/>
      <w:color w:val="000000"/>
      <w:sz w:val="22"/>
      <w:szCs w:val="22"/>
      <w:u w:val="none"/>
    </w:rPr>
  </w:style>
  <w:style w:type="character" w:customStyle="1" w:styleId="174">
    <w:name w:val="正文文本 字符"/>
    <w:basedOn w:val="36"/>
    <w:link w:val="12"/>
    <w:qFormat/>
    <w:uiPriority w:val="0"/>
    <w:rPr>
      <w:rFonts w:ascii="Times New Roman" w:hAnsi="Times New Roman" w:eastAsia="宋体" w:cs="Times New Roman"/>
      <w:szCs w:val="24"/>
    </w:rPr>
  </w:style>
  <w:style w:type="paragraph" w:customStyle="1" w:styleId="175">
    <w:name w:val="标准文件_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styleId="17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177">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78">
    <w:name w:val="批注文字 字符"/>
    <w:basedOn w:val="36"/>
    <w:link w:val="10"/>
    <w:qFormat/>
    <w:uiPriority w:val="99"/>
    <w:rPr>
      <w:rFonts w:ascii="Times New Roman" w:hAnsi="Times New Roman" w:eastAsia="宋体" w:cs="Times New Roman"/>
      <w:szCs w:val="24"/>
    </w:rPr>
  </w:style>
  <w:style w:type="character" w:customStyle="1" w:styleId="179">
    <w:name w:val="批注主题 字符"/>
    <w:basedOn w:val="178"/>
    <w:link w:val="33"/>
    <w:semiHidden/>
    <w:qFormat/>
    <w:uiPriority w:val="99"/>
    <w:rPr>
      <w:rFonts w:ascii="Times New Roman" w:hAnsi="Times New Roman" w:eastAsia="宋体" w:cs="Times New Roman"/>
      <w:b/>
      <w:bCs/>
      <w:szCs w:val="24"/>
    </w:rPr>
  </w:style>
  <w:style w:type="paragraph" w:customStyle="1" w:styleId="180">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81">
    <w:name w:val="标准文件_正文表标题"/>
    <w:next w:val="154"/>
    <w:qFormat/>
    <w:uiPriority w:val="0"/>
    <w:pPr>
      <w:numPr>
        <w:ilvl w:val="0"/>
        <w:numId w:val="19"/>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82">
    <w:name w:val="标准文件_表格"/>
    <w:basedOn w:val="154"/>
    <w:qFormat/>
    <w:uiPriority w:val="0"/>
    <w:pPr>
      <w:ind w:firstLine="0" w:firstLineChars="0"/>
      <w:jc w:val="center"/>
    </w:pPr>
    <w:rPr>
      <w:sz w:val="18"/>
    </w:rPr>
  </w:style>
  <w:style w:type="character" w:customStyle="1" w:styleId="183">
    <w:name w:val="未处理的提及1"/>
    <w:basedOn w:val="36"/>
    <w:semiHidden/>
    <w:unhideWhenUsed/>
    <w:qFormat/>
    <w:uiPriority w:val="99"/>
    <w:rPr>
      <w:color w:val="605E5C"/>
      <w:shd w:val="clear" w:color="auto" w:fill="E1DFDD"/>
    </w:rPr>
  </w:style>
  <w:style w:type="paragraph" w:customStyle="1" w:styleId="184">
    <w:name w:val="修订3"/>
    <w:hidden/>
    <w:unhideWhenUsed/>
    <w:qFormat/>
    <w:uiPriority w:val="99"/>
    <w:rPr>
      <w:rFonts w:ascii="Times New Roman" w:hAnsi="Times New Roman" w:eastAsia="宋体" w:cs="Times New Roman"/>
      <w:kern w:val="2"/>
      <w:sz w:val="21"/>
      <w:szCs w:val="24"/>
      <w:lang w:val="en-US" w:eastAsia="zh-CN" w:bidi="ar-SA"/>
    </w:rPr>
  </w:style>
  <w:style w:type="character" w:customStyle="1" w:styleId="185">
    <w:name w:val="标题 2 字符"/>
    <w:basedOn w:val="36"/>
    <w:link w:val="2"/>
    <w:semiHidden/>
    <w:qFormat/>
    <w:uiPriority w:val="9"/>
    <w:rPr>
      <w:rFonts w:asciiTheme="majorHAnsi" w:hAnsiTheme="majorHAnsi" w:eastAsiaTheme="majorEastAsia" w:cstheme="majorBidi"/>
      <w:b/>
      <w:bCs/>
      <w:kern w:val="2"/>
      <w:sz w:val="32"/>
      <w:szCs w:val="32"/>
    </w:rPr>
  </w:style>
  <w:style w:type="character" w:styleId="186">
    <w:name w:val="Placeholder Text"/>
    <w:basedOn w:val="36"/>
    <w:unhideWhenUsed/>
    <w:qFormat/>
    <w:uiPriority w:val="99"/>
    <w:rPr>
      <w:color w:val="666666"/>
    </w:rPr>
  </w:style>
  <w:style w:type="character" w:customStyle="1" w:styleId="187">
    <w:name w:val="标题 4 字符"/>
    <w:basedOn w:val="36"/>
    <w:link w:val="4"/>
    <w:semiHidden/>
    <w:qFormat/>
    <w:uiPriority w:val="9"/>
    <w:rPr>
      <w:rFonts w:asciiTheme="majorHAnsi" w:hAnsiTheme="majorHAnsi" w:eastAsiaTheme="majorEastAsia" w:cstheme="majorBidi"/>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6E47F5-271D-44D2-A726-7E1A299C5911}">
  <ds:schemaRefs/>
</ds:datastoreItem>
</file>

<file path=docProps/app.xml><?xml version="1.0" encoding="utf-8"?>
<Properties xmlns="http://schemas.openxmlformats.org/officeDocument/2006/extended-properties" xmlns:vt="http://schemas.openxmlformats.org/officeDocument/2006/docPropsVTypes">
  <Template>Normal</Template>
  <Pages>9</Pages>
  <Words>2800</Words>
  <Characters>3431</Characters>
  <Lines>30</Lines>
  <Paragraphs>8</Paragraphs>
  <TotalTime>226</TotalTime>
  <ScaleCrop>false</ScaleCrop>
  <LinksUpToDate>false</LinksUpToDate>
  <CharactersWithSpaces>3655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2026-05-14T13:21:00Z</dcterms:created>
  <dc:creator>李毅（大）</dc:creator>
  <cp:lastModifiedBy>鳢·明磊</cp:lastModifiedBy>
  <dcterms:modified xsi:type="dcterms:W3CDTF">2026-08-25T08:44:10Z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eyJoZGlkIjoiNDUwMTFkMDI3ZjBmZjczM2Q3M2EwOGI5M2VjYzUzMDkiLCJ1c2VySWQiOiI2Mzc2MTkzNTkifQ==</vt:lpwstr>
  </property>
  <property fmtid="{D5CDD505-2E9C-101B-9397-08002B2CF9AE}" pid="3" name="KSOProductBuildVer">
    <vt:lpwstr>2052-12.1.0.28043</vt:lpwstr>
  </property>
  <property fmtid="{D5CDD505-2E9C-101B-9397-08002B2CF9AE}" pid="4" name="ICV">
    <vt:lpwstr>B3107BF4F296414A99F9FE06948EDA16_13</vt:lpwstr>
  </property>
</Properties>
</file>