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152C">
      <w:pPr>
        <w:spacing w:before="156" w:beforeLines="50" w:line="360" w:lineRule="auto"/>
        <w:ind w:left="0" w:leftChars="0" w:firstLine="0" w:firstLineChars="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附件2：</w:t>
      </w:r>
    </w:p>
    <w:p w14:paraId="6CF8F3F8"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28"/>
        </w:rPr>
      </w:pPr>
      <w:r>
        <w:rPr>
          <w:rFonts w:hint="eastAsia" w:ascii="宋体" w:hAnsi="宋体" w:eastAsia="宋体" w:cs="Times New Roman"/>
          <w:b/>
          <w:sz w:val="32"/>
          <w:szCs w:val="28"/>
        </w:rPr>
        <w:t>《</w:t>
      </w:r>
      <w:r>
        <w:rPr>
          <w:rFonts w:hint="eastAsia" w:ascii="宋体" w:hAnsi="宋体" w:eastAsia="宋体" w:cs="Times New Roman"/>
          <w:b/>
          <w:sz w:val="32"/>
          <w:szCs w:val="28"/>
          <w:lang w:val="en-US" w:eastAsia="zh-CN"/>
        </w:rPr>
        <w:t>水果葡萄酒</w:t>
      </w:r>
      <w:r>
        <w:rPr>
          <w:rFonts w:hint="eastAsia" w:ascii="宋体" w:hAnsi="宋体" w:eastAsia="宋体" w:cs="Times New Roman"/>
          <w:b/>
          <w:sz w:val="32"/>
          <w:szCs w:val="28"/>
        </w:rPr>
        <w:t>》团体标准编制说明</w:t>
      </w:r>
    </w:p>
    <w:p w14:paraId="25B45F51"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征求意见</w:t>
      </w:r>
      <w:r>
        <w:rPr>
          <w:rFonts w:hint="eastAsia" w:ascii="Times New Roman" w:hAnsi="Times New Roman" w:eastAsia="宋体" w:cs="Times New Roman"/>
          <w:sz w:val="24"/>
          <w:szCs w:val="24"/>
        </w:rPr>
        <w:t>稿）</w:t>
      </w:r>
    </w:p>
    <w:p w14:paraId="13B96166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一、工作简况</w:t>
      </w:r>
    </w:p>
    <w:p w14:paraId="49DA37A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1.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任务来源</w:t>
      </w:r>
    </w:p>
    <w:p w14:paraId="610ECD4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bookmarkStart w:id="0" w:name="_Hlk86420409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在2023年《关于推动轻工业高质量发展的指导意见》指导下，为满足葡萄酒行业可持续发展和市场多元化消费需求，特制定水果葡萄酒团体标准，引导葡萄酒产品创新与品质提升。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中国酒业协会团体标准审查委员会批准立项，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中粮长城酒业有限公司提出团体标准提案并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牵头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组织起草。</w:t>
      </w:r>
    </w:p>
    <w:bookmarkEnd w:id="0"/>
    <w:p w14:paraId="3E3CC964">
      <w:pPr>
        <w:numPr>
          <w:ilvl w:val="0"/>
          <w:numId w:val="3"/>
        </w:num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起草单位（计划）</w:t>
      </w:r>
    </w:p>
    <w:p w14:paraId="42A8318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中国酒业协会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中粮长城酒业有限公司</w:t>
      </w:r>
    </w:p>
    <w:p w14:paraId="47EDF681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3.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目的意义</w:t>
      </w:r>
    </w:p>
    <w:p w14:paraId="4439FB3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随着社会经济不断发展，以及消费人群的更迭，年轻人葡萄酒消费比例逐年上升，逐渐成为消费主力，并且对葡萄酒产品多元化需求日趋增加，口感、健康、香气成为年轻消费者主要关注点。因此，开发含有丰富果味的葡萄酒产品并制定水果葡萄酒团体标准，引导葡萄酒产业蓬勃可持续发展。</w:t>
      </w:r>
    </w:p>
    <w:p w14:paraId="6FF1323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满足国家行业发展需求。2023年《关于推动轻工业高质量发展的指导意见》：强调发展地域特色果酒、露酒等低度酒，支持产品创新与品质提升，适配消费升级。 因此，对葡萄酒品类进行创新升级，开发水果葡萄酒符合国家行业发展需求。</w:t>
      </w:r>
    </w:p>
    <w:p w14:paraId="742BC3B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满足市场发展需求。近年来年轻人葡萄酒、果酒消费占比持续提升，根据中国酒类消费监测统计数据显示，2025年90后在葡萄酒消费占比约45%-50%，是葡萄酒消费主力；且90后在果酒消费占比达80%，20-30岁年龄段贡献60%市场份额，并且果味、低度、便携装产品在零售渠道销量占比达38%，年增速72%。因此，水果葡萄酒品类扩展及产品开发是顺应市场消费发展，有较大的行业发展潜力。</w:t>
      </w:r>
    </w:p>
    <w:p w14:paraId="3D20C05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本项目制定的水果葡萄酒，是指含葡萄在内两种或以上水果、果汁（浆）、浓缩果汁（浆）为主要原料，通过全部或部分发酵、调配等工艺而制成的发酵酒。通过多种水果经全部或部分发酵、调配，从而获得一种香气层次复杂、味感馥郁、酒体轻柔，更符合中国人饮用风格、适用于更多消费场景的饮料酒。目前在国内行业内尚没有相关标准规范该类产品生产开发，为促进该类产品健康发展，制定《水果葡萄酒》团体标准势在必行。</w:t>
      </w:r>
    </w:p>
    <w:p w14:paraId="18094216">
      <w:pPr>
        <w:numPr>
          <w:ilvl w:val="0"/>
          <w:numId w:val="4"/>
        </w:num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编制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过程</w:t>
      </w:r>
    </w:p>
    <w:p w14:paraId="46C6943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2026年3月3日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中粮长城酒业有限公司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将立项相关材料总结提交中国酒业协会团体标准审查委员会，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邀请成员进行立项函审，根据函审结果，审查意见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基本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表示赞同。202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日，经中国酒业协会团体标准审查委员会发文（中酒协标[202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号）批准立项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C9B104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日，公开面向社会征集起草单位，由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中粮长城酒业有限公司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牵头，组织筹建成立标准起草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组，起草标准草案。</w:t>
      </w:r>
    </w:p>
    <w:p w14:paraId="4B31452B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2026年4月-5月，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标准起草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组在调研分析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水果葡萄酒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发展现状及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标准需求基础上，对标准框架和主要内容进行讨论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形成了标准初稿。通过采集产区企业信息，重点问题反馈和线上会议讨论处理，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会后形成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稿。</w:t>
      </w:r>
    </w:p>
    <w:p w14:paraId="33E2C108"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</w:t>
      </w:r>
      <w:r>
        <w:rPr>
          <w:rFonts w:ascii="宋体" w:hAnsi="宋体" w:eastAsia="宋体" w:cs="Times New Roman"/>
          <w:b/>
          <w:bCs/>
          <w:sz w:val="24"/>
          <w:szCs w:val="24"/>
        </w:rPr>
        <w:t>、编制原则和标准主要内容的论据</w:t>
      </w:r>
    </w:p>
    <w:p w14:paraId="1D1413CB"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1.编制原则</w:t>
      </w:r>
    </w:p>
    <w:p w14:paraId="26481BF4">
      <w:pPr>
        <w:spacing w:line="360" w:lineRule="auto"/>
        <w:ind w:firstLine="482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a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规范性</w:t>
      </w:r>
      <w:r>
        <w:rPr>
          <w:rFonts w:hint="eastAsia" w:ascii="宋体" w:hAnsi="宋体" w:eastAsia="宋体" w:cs="Times New Roman"/>
          <w:sz w:val="24"/>
          <w:szCs w:val="24"/>
        </w:rPr>
        <w:t>。本标准以国家、行业现有的标准为制定基础，本着先进性、科学性、合理性、可行性和可操作性的原则来进行本标准的制定工作，主要依据</w:t>
      </w:r>
      <w:bookmarkStart w:id="1" w:name="_Hlk86420438"/>
      <w:r>
        <w:rPr>
          <w:rFonts w:ascii="Times New Roman" w:hAnsi="Times New Roman" w:eastAsia="宋体" w:cs="Times New Roman"/>
          <w:sz w:val="24"/>
          <w:szCs w:val="24"/>
        </w:rPr>
        <w:t>GB/T 1.1-2020</w:t>
      </w:r>
      <w:r>
        <w:rPr>
          <w:rFonts w:hint="eastAsia" w:ascii="宋体" w:hAnsi="宋体" w:eastAsia="宋体" w:cs="Times New Roman"/>
          <w:sz w:val="24"/>
          <w:szCs w:val="24"/>
        </w:rPr>
        <w:t>《标准化工作导则 第1部分：标准化文件的结构和起草规则》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《团体标准管理规定》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szCs w:val="24"/>
        </w:rPr>
        <w:t>规定编写内容。</w:t>
      </w:r>
      <w:bookmarkEnd w:id="1"/>
    </w:p>
    <w:p w14:paraId="376524E0">
      <w:pPr>
        <w:spacing w:line="360" w:lineRule="auto"/>
        <w:ind w:firstLine="482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b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系统性</w:t>
      </w:r>
      <w:r>
        <w:rPr>
          <w:rFonts w:hint="eastAsia" w:hAnsi="宋体"/>
          <w:sz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水果葡萄酒的定义体系与GB/T 17204《饮料酒术语和分类》体系一致，结合产区现有技术水平和发展趋势，提出符合行业发展的要求。</w:t>
      </w:r>
    </w:p>
    <w:p w14:paraId="3E4478EC">
      <w:pPr>
        <w:pStyle w:val="17"/>
        <w:tabs>
          <w:tab w:val="left" w:pos="1440"/>
          <w:tab w:val="clear" w:pos="4201"/>
          <w:tab w:val="clear" w:pos="9298"/>
        </w:tabs>
        <w:spacing w:line="360" w:lineRule="auto"/>
        <w:ind w:firstLine="482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b/>
          <w:bCs/>
          <w:kern w:val="2"/>
          <w:sz w:val="24"/>
          <w:szCs w:val="24"/>
        </w:rPr>
        <w:t>c</w:t>
      </w:r>
      <w:r>
        <w:rPr>
          <w:rFonts w:hAnsi="宋体"/>
          <w:b/>
          <w:bCs/>
          <w:kern w:val="2"/>
          <w:sz w:val="24"/>
          <w:szCs w:val="24"/>
        </w:rPr>
        <w:t>）统一性</w:t>
      </w:r>
      <w:r>
        <w:rPr>
          <w:rFonts w:hint="eastAsia" w:hAnsi="宋体"/>
          <w:b/>
          <w:bCs/>
          <w:kern w:val="2"/>
          <w:sz w:val="24"/>
          <w:szCs w:val="24"/>
        </w:rPr>
        <w:t>。</w:t>
      </w:r>
      <w:r>
        <w:rPr>
          <w:rFonts w:hAnsi="宋体"/>
          <w:sz w:val="24"/>
        </w:rPr>
        <w:t>标准结构、文体和术语力求统一。</w:t>
      </w:r>
      <w:r>
        <w:rPr>
          <w:rFonts w:hint="eastAsia" w:hAnsi="宋体"/>
          <w:sz w:val="24"/>
          <w:lang w:val="en-US" w:eastAsia="zh-CN"/>
        </w:rPr>
        <w:t>各相关方的意见力求一致。</w:t>
      </w:r>
    </w:p>
    <w:p w14:paraId="63DFBD84">
      <w:pPr>
        <w:pStyle w:val="17"/>
        <w:tabs>
          <w:tab w:val="left" w:pos="1440"/>
          <w:tab w:val="clear" w:pos="4201"/>
          <w:tab w:val="clear" w:pos="9298"/>
        </w:tabs>
        <w:spacing w:line="360" w:lineRule="auto"/>
        <w:ind w:firstLine="482"/>
        <w:rPr>
          <w:rFonts w:hint="eastAsia" w:hAnsi="宋体"/>
          <w:sz w:val="24"/>
        </w:rPr>
      </w:pPr>
      <w:r>
        <w:rPr>
          <w:rFonts w:hint="eastAsia" w:hAnsi="宋体"/>
          <w:b/>
          <w:bCs/>
          <w:kern w:val="2"/>
          <w:sz w:val="24"/>
          <w:szCs w:val="24"/>
        </w:rPr>
        <w:t>d</w:t>
      </w:r>
      <w:r>
        <w:rPr>
          <w:rFonts w:hAnsi="宋体"/>
          <w:b/>
          <w:bCs/>
          <w:kern w:val="2"/>
          <w:sz w:val="24"/>
          <w:szCs w:val="24"/>
        </w:rPr>
        <w:t>）协调性</w:t>
      </w:r>
      <w:r>
        <w:rPr>
          <w:rFonts w:hint="eastAsia" w:hAnsi="宋体"/>
          <w:b/>
          <w:bCs/>
          <w:kern w:val="2"/>
          <w:sz w:val="24"/>
          <w:szCs w:val="24"/>
        </w:rPr>
        <w:t>。</w:t>
      </w:r>
      <w:r>
        <w:rPr>
          <w:rFonts w:hint="eastAsia" w:hAnsi="宋体"/>
          <w:sz w:val="24"/>
        </w:rPr>
        <w:t>充分结合</w:t>
      </w:r>
      <w:r>
        <w:rPr>
          <w:rFonts w:hAnsi="宋体"/>
          <w:sz w:val="24"/>
        </w:rPr>
        <w:t>现有</w:t>
      </w:r>
      <w:r>
        <w:rPr>
          <w:rFonts w:hint="eastAsia" w:hAnsi="宋体"/>
          <w:sz w:val="24"/>
        </w:rPr>
        <w:t>法律法规、</w:t>
      </w:r>
      <w:r>
        <w:rPr>
          <w:rFonts w:hAnsi="宋体"/>
          <w:sz w:val="24"/>
        </w:rPr>
        <w:t>基础标准的有关条款，达到标准间的相互协调</w:t>
      </w:r>
      <w:r>
        <w:rPr>
          <w:rFonts w:hint="eastAsia" w:hAnsi="宋体"/>
          <w:sz w:val="24"/>
          <w:lang w:val="en-US" w:eastAsia="zh-CN"/>
        </w:rPr>
        <w:t>一致</w:t>
      </w:r>
      <w:r>
        <w:rPr>
          <w:rFonts w:hAnsi="宋体"/>
          <w:sz w:val="24"/>
        </w:rPr>
        <w:t>。</w:t>
      </w:r>
    </w:p>
    <w:p w14:paraId="19764B3F">
      <w:pPr>
        <w:pStyle w:val="17"/>
        <w:tabs>
          <w:tab w:val="left" w:pos="1440"/>
          <w:tab w:val="clear" w:pos="4201"/>
          <w:tab w:val="clear" w:pos="9298"/>
        </w:tabs>
        <w:spacing w:line="360" w:lineRule="auto"/>
        <w:ind w:firstLine="482"/>
        <w:rPr>
          <w:rFonts w:hint="eastAsia" w:hAnsi="宋体"/>
          <w:sz w:val="24"/>
        </w:rPr>
      </w:pPr>
      <w:r>
        <w:rPr>
          <w:rFonts w:hint="eastAsia" w:hAnsi="宋体"/>
          <w:b/>
          <w:bCs/>
          <w:kern w:val="2"/>
          <w:sz w:val="24"/>
          <w:szCs w:val="24"/>
        </w:rPr>
        <w:t>e</w:t>
      </w:r>
      <w:r>
        <w:rPr>
          <w:rFonts w:hAnsi="宋体"/>
          <w:b/>
          <w:bCs/>
          <w:kern w:val="2"/>
          <w:sz w:val="24"/>
          <w:szCs w:val="24"/>
        </w:rPr>
        <w:t>）适用性</w:t>
      </w:r>
      <w:r>
        <w:rPr>
          <w:rFonts w:hint="eastAsia" w:hAnsi="宋体"/>
          <w:b/>
          <w:bCs/>
          <w:kern w:val="2"/>
          <w:sz w:val="24"/>
          <w:szCs w:val="24"/>
        </w:rPr>
        <w:t>。</w:t>
      </w:r>
      <w:r>
        <w:rPr>
          <w:rFonts w:hAnsi="宋体"/>
          <w:sz w:val="24"/>
        </w:rPr>
        <w:t>标准内容</w:t>
      </w:r>
      <w:r>
        <w:rPr>
          <w:rFonts w:hint="eastAsia" w:hAnsi="宋体"/>
          <w:sz w:val="24"/>
        </w:rPr>
        <w:t>结合产业发展实际，</w:t>
      </w:r>
      <w:r>
        <w:rPr>
          <w:rFonts w:hint="eastAsia" w:hAnsi="宋体"/>
          <w:sz w:val="24"/>
          <w:lang w:val="en-US" w:eastAsia="zh-CN"/>
        </w:rPr>
        <w:t>基于</w:t>
      </w:r>
      <w:r>
        <w:rPr>
          <w:rFonts w:hint="eastAsia" w:hAnsi="宋体"/>
          <w:sz w:val="24"/>
        </w:rPr>
        <w:t>市场调研和数据分析，确保其科学性和可行性。</w:t>
      </w:r>
    </w:p>
    <w:p w14:paraId="6A315EA4"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2.标准主要内容的论据</w:t>
      </w:r>
    </w:p>
    <w:p w14:paraId="0308A09C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a</w:t>
      </w:r>
      <w:r>
        <w:rPr>
          <w:rFonts w:ascii="宋体" w:hAnsi="宋体" w:eastAsia="宋体" w:cs="Times New Roman"/>
          <w:b/>
          <w:bCs/>
          <w:sz w:val="24"/>
          <w:szCs w:val="24"/>
        </w:rPr>
        <w:t>)标准名称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及范围</w:t>
      </w:r>
    </w:p>
    <w:p w14:paraId="7D062AC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根据标准制定内容，本标准名称确定为《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水果葡萄酒</w:t>
      </w:r>
      <w:r>
        <w:rPr>
          <w:rFonts w:hint="eastAsia" w:ascii="宋体" w:hAnsi="宋体" w:eastAsia="宋体" w:cs="Times New Roman"/>
          <w:sz w:val="24"/>
          <w:szCs w:val="24"/>
        </w:rPr>
        <w:t>》。</w:t>
      </w:r>
    </w:p>
    <w:p w14:paraId="70A417A4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b)规范性引用文件</w:t>
      </w:r>
    </w:p>
    <w:p w14:paraId="622BEF6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本文件为综合管理标准，规范性引用文件部分依据了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葡萄酒、果酒</w:t>
      </w:r>
      <w:r>
        <w:rPr>
          <w:rFonts w:hint="eastAsia" w:ascii="宋体" w:hAnsi="宋体" w:eastAsia="宋体" w:cs="Times New Roman"/>
          <w:sz w:val="24"/>
          <w:szCs w:val="24"/>
        </w:rPr>
        <w:t>国家标准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行业标准，使标准的内容符合国家法律法规要求的同时，更加具有科学性和可操作。本标准编制主要依据包括：</w:t>
      </w:r>
    </w:p>
    <w:p w14:paraId="14BF659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GB/T 191  包装储运图示标志</w:t>
      </w:r>
    </w:p>
    <w:p w14:paraId="1C7CE55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2758  食品安全国家标准  发酵酒及其配制酒</w:t>
      </w:r>
    </w:p>
    <w:p w14:paraId="62F68956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2760  食品安全国家标准  食品添加剂使用标准</w:t>
      </w:r>
    </w:p>
    <w:p w14:paraId="7854361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2761  食品安全国家标准  食品中真菌毒素限量</w:t>
      </w:r>
    </w:p>
    <w:p w14:paraId="11025A0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2762  食品安全国家标准  食品中污染物限量</w:t>
      </w:r>
    </w:p>
    <w:p w14:paraId="7964D20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2763  食品安全国家标准  食品中农药最大残留限量</w:t>
      </w:r>
    </w:p>
    <w:p w14:paraId="2371290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4789.25 食品安全国家标准  食品微生物学检验 酒类、饮料、冷冻饮品采样和检样处理</w:t>
      </w:r>
    </w:p>
    <w:p w14:paraId="2662721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GB 4789.4  食品安全国家标准  食品微生物学检验 沙门氏菌检验 </w:t>
      </w:r>
    </w:p>
    <w:p w14:paraId="163F8D7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4789.10  食品安全国家标准  食品微生物学检验 金黄色葡萄球菌检验</w:t>
      </w:r>
    </w:p>
    <w:p w14:paraId="3980F22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5009.12  食品安全国家标准  食品中铅的测定</w:t>
      </w:r>
    </w:p>
    <w:p w14:paraId="626D1D2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5009.185  食品安全国家标准 食品中展青霉素的测定</w:t>
      </w:r>
    </w:p>
    <w:p w14:paraId="1D5D29D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5009.96 食品安全国家标准 食品中赭曲霉毒素A的测定</w:t>
      </w:r>
    </w:p>
    <w:p w14:paraId="197B356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5009.225 食品安全国家标准 酒和食用酒精中乙醇浓度的测定</w:t>
      </w:r>
    </w:p>
    <w:p w14:paraId="10A225D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5009.266 食品安全国家标准 食品中甲醇的测定</w:t>
      </w:r>
    </w:p>
    <w:p w14:paraId="0008AF5F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GB/T 15037  葡萄酒</w:t>
      </w:r>
    </w:p>
    <w:p w14:paraId="18C13EB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NY/T 1508  绿色食品 果酒</w:t>
      </w:r>
    </w:p>
    <w:p w14:paraId="48BA5416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GB/T 15038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葡萄</w:t>
      </w:r>
      <w:r>
        <w:rPr>
          <w:rFonts w:hint="eastAsia" w:ascii="宋体" w:hAnsi="宋体" w:eastAsia="宋体" w:cs="Times New Roman"/>
          <w:sz w:val="24"/>
          <w:szCs w:val="24"/>
        </w:rPr>
        <w:t>酒、果酒通用分析方法</w:t>
      </w:r>
    </w:p>
    <w:p w14:paraId="1F3BB2F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5749  生活饮用水卫生标准</w:t>
      </w:r>
    </w:p>
    <w:p w14:paraId="0AFF33D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17325  食品安全国家标准  食品工业用浓缩液（汁、浆）</w:t>
      </w:r>
    </w:p>
    <w:p w14:paraId="5AA7370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SB/T 10197  原果汁通用技术条件</w:t>
      </w:r>
    </w:p>
    <w:p w14:paraId="665BE10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SB/T 10198  浓缩果汁通用技术条件</w:t>
      </w:r>
    </w:p>
    <w:p w14:paraId="24ED5F4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25570  食品安全国家标准  食品添加剂 焦亚硫酸钾</w:t>
      </w:r>
    </w:p>
    <w:p w14:paraId="24AA15C6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1886.39 食品安全国家标准 食品添加剂 山梨酸钾</w:t>
      </w:r>
    </w:p>
    <w:p w14:paraId="6AC746E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14881  食品安全国家标准  食品生产通用卫生规范</w:t>
      </w:r>
    </w:p>
    <w:p w14:paraId="08D19FE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GB 7718  食品安全国家标准  预包装食品标签通则</w:t>
      </w:r>
    </w:p>
    <w:p w14:paraId="3A5A08D6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fldChar w:fldCharType="begin"/>
      </w:r>
      <w:r>
        <w:rPr>
          <w:rFonts w:hint="eastAsia" w:ascii="宋体" w:hAnsi="宋体" w:eastAsia="宋体" w:cs="Times New Roman"/>
          <w:sz w:val="24"/>
          <w:szCs w:val="24"/>
        </w:rPr>
        <w:instrText xml:space="preserve"> HYPERLINK "http://down.foodmate.net/standard/sort/9/7114.html" \t "_blank" </w:instrText>
      </w:r>
      <w:r>
        <w:rPr>
          <w:rFonts w:hint="eastAsia" w:ascii="宋体" w:hAnsi="宋体" w:eastAsia="宋体" w:cs="Times New Roman"/>
          <w:sz w:val="24"/>
          <w:szCs w:val="24"/>
        </w:rPr>
        <w:fldChar w:fldCharType="separate"/>
      </w:r>
      <w:r>
        <w:rPr>
          <w:rFonts w:hint="eastAsia" w:ascii="宋体" w:hAnsi="宋体" w:eastAsia="宋体" w:cs="Times New Roman"/>
          <w:sz w:val="24"/>
          <w:szCs w:val="24"/>
        </w:rPr>
        <w:t xml:space="preserve">JJF 1070  定量包装商品净含量计量检验规则 </w:t>
      </w:r>
      <w:r>
        <w:rPr>
          <w:rFonts w:hint="eastAsia" w:ascii="宋体" w:hAnsi="宋体" w:eastAsia="宋体" w:cs="Times New Roman"/>
          <w:sz w:val="24"/>
          <w:szCs w:val="24"/>
        </w:rPr>
        <w:fldChar w:fldCharType="end"/>
      </w:r>
    </w:p>
    <w:p w14:paraId="7F7C66C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国家市场监督管理总局公告 2024年第13号文第1号修改单</w:t>
      </w:r>
    </w:p>
    <w:p w14:paraId="406A22BB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c)术语和定义 </w:t>
      </w:r>
    </w:p>
    <w:p w14:paraId="3883E8F1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GB"/>
        </w:rPr>
        <w:t>含葡萄在内两种或以上水果、果汁（浆）、浓缩果汁（浆）为主要原料，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添加或不添加可食用的辅料和（或）食品添加剂，经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GB"/>
        </w:rPr>
        <w:t>原料处理、全部或部分发酵、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均质调配、过滤、冷冻、填充或不填充二氧化碳、除菌、灌装等工艺制成的发酵酒。</w:t>
      </w:r>
    </w:p>
    <w:p w14:paraId="4320489B">
      <w:pPr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依据GB/T 17204《饮料酒术语和分类》和GB/T 15037《葡萄酒》对葡萄酒、果酒的定义基础，将原料品种、酿造工艺、产品风格等特征要素融入，确定“水果葡萄酒”的定义。</w:t>
      </w:r>
    </w:p>
    <w:p w14:paraId="1CDF23D8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d)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分类</w:t>
      </w:r>
    </w:p>
    <w:p w14:paraId="1D550393">
      <w:pPr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（1）按二氧化碳含量分类：平静水果葡萄酒和含气水果葡萄酒；含气水果葡萄酒分为起泡水果葡萄酒和低泡（微泡）水果葡萄酒。</w:t>
      </w:r>
    </w:p>
    <w:p w14:paraId="2B9E2DCE">
      <w:pPr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（2）按含糖量分类： 干型水果葡萄酒、半干型水果葡萄酒、半甜型水果葡萄酒、甜型水果葡萄酒。</w:t>
      </w:r>
    </w:p>
    <w:p w14:paraId="5AC89A7F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（3）按澄清度分类：清汁型水果葡萄酒、浊汁型水果葡萄酒。</w:t>
      </w:r>
    </w:p>
    <w:p w14:paraId="4C8B6911">
      <w:pPr>
        <w:spacing w:line="440" w:lineRule="exact"/>
        <w:ind w:firstLine="480" w:firstLineChars="200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依据GB/T 17204《饮料酒术语和分类》和GB/T 15037《葡萄酒》对葡萄酒的分类基础，增加酒体澄清度要素，确定水果葡萄酒分类。</w:t>
      </w:r>
    </w:p>
    <w:p w14:paraId="5534966E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e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)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技术要求</w:t>
      </w:r>
    </w:p>
    <w:p w14:paraId="0E497B55">
      <w:pPr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从原辅料</w:t>
      </w:r>
      <w:r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  <w:t>要求、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生产工艺</w:t>
      </w:r>
      <w:r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  <w:t>要求、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感官指标</w:t>
      </w:r>
      <w:r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  <w:t>要求、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理化指标</w:t>
      </w:r>
      <w:r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  <w:t>要求、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卫生</w:t>
      </w:r>
      <w:r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、净含量六个</w:t>
      </w:r>
      <w:r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  <w:t>方面提出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技术方面</w:t>
      </w:r>
      <w:r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  <w:t>详细要求。</w:t>
      </w:r>
    </w:p>
    <w:p w14:paraId="2FE9200B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e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</w:rPr>
        <w:t>.1）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原辅料</w:t>
      </w:r>
      <w:r>
        <w:rPr>
          <w:rFonts w:hint="default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要求</w:t>
      </w:r>
    </w:p>
    <w:p w14:paraId="79DBC73C">
      <w:pPr>
        <w:spacing w:line="360" w:lineRule="auto"/>
        <w:ind w:firstLine="482" w:firstLineChars="200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e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</w:rPr>
        <w:t>.1</w:t>
      </w:r>
      <w:r>
        <w:rPr>
          <w:rFonts w:hint="default" w:ascii="宋体" w:hAnsi="宋体" w:eastAsia="宋体" w:cs="Times New Roman"/>
          <w:b/>
          <w:bCs w:val="0"/>
          <w:color w:val="auto"/>
          <w:sz w:val="24"/>
          <w:szCs w:val="24"/>
          <w:lang w:val="en-US"/>
        </w:rPr>
        <w:t>.1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葡萄等水果</w:t>
      </w:r>
    </w:p>
    <w:p w14:paraId="77E496C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葡萄等水果：应符合GB 2762、GB 2763的规定。</w:t>
      </w:r>
    </w:p>
    <w:p w14:paraId="033E1E34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葡萄等水果是主要原料，必须符合GB 2762《食品中污染物限量》、GB 2763《食品中农药最大残留限量》，以保证原料中污染物含量和农药残留量符合国标限量要求，保障原料食品安全。</w:t>
      </w:r>
    </w:p>
    <w:p w14:paraId="0E425FDB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e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</w:rPr>
        <w:t>.1</w:t>
      </w:r>
      <w:r>
        <w:rPr>
          <w:rFonts w:hint="default" w:ascii="宋体" w:hAnsi="宋体" w:eastAsia="宋体" w:cs="Times New Roman"/>
          <w:b/>
          <w:bCs w:val="0"/>
          <w:color w:val="auto"/>
          <w:sz w:val="24"/>
          <w:szCs w:val="24"/>
          <w:lang w:val="en-US"/>
        </w:rPr>
        <w:t>.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果汁（浆）、浓缩果汁（浆）</w:t>
      </w:r>
    </w:p>
    <w:p w14:paraId="33533896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果汁（浆）、浓缩果汁（浆）：应符合GB 17325、SB/T 10197、SB/T 10198的规定。</w:t>
      </w:r>
    </w:p>
    <w:p w14:paraId="7E64536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果汁（浆）、浓缩果汁（浆）作为原料，为确保其质量安全，必须符合相关国家及食品工业标准GB 17325《食品工业用浓缩液（汁、浆）》、SB/T 10197《原果汁通用技术条件》、SB/T 10198《浓缩果汁通用技术条件》的规定。</w:t>
      </w:r>
    </w:p>
    <w:p w14:paraId="12B37E7D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e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</w:rPr>
        <w:t>.1</w:t>
      </w:r>
      <w:r>
        <w:rPr>
          <w:rFonts w:hint="default" w:ascii="宋体" w:hAnsi="宋体" w:eastAsia="宋体" w:cs="Times New Roman"/>
          <w:b/>
          <w:bCs w:val="0"/>
          <w:color w:val="auto"/>
          <w:sz w:val="24"/>
          <w:szCs w:val="24"/>
          <w:lang w:val="en-US"/>
        </w:rPr>
        <w:t>.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3 食品添加剂</w:t>
      </w:r>
    </w:p>
    <w:p w14:paraId="1DFC450B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焦亚硫酸钾：应符合GB 25570的规定；山梨酸钾：应符合GB 1886.39的规定。</w:t>
      </w:r>
    </w:p>
    <w:p w14:paraId="327E9275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水果葡萄酒用到的食品添加剂（焦亚硫酸钾和山梨酸钾）的质量必须符合相应国标要求，</w:t>
      </w:r>
      <w:r>
        <w:rPr>
          <w:rFonts w:ascii="宋体" w:hAnsi="宋体" w:eastAsia="宋体" w:cs="宋体"/>
          <w:color w:val="auto"/>
          <w:sz w:val="24"/>
          <w:szCs w:val="24"/>
        </w:rPr>
        <w:t>确保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食品</w:t>
      </w:r>
      <w:r>
        <w:rPr>
          <w:rFonts w:ascii="宋体" w:hAnsi="宋体" w:eastAsia="宋体" w:cs="宋体"/>
          <w:color w:val="auto"/>
          <w:sz w:val="24"/>
          <w:szCs w:val="24"/>
        </w:rPr>
        <w:t>添加剂合规使用。</w:t>
      </w:r>
    </w:p>
    <w:p w14:paraId="531D41AE">
      <w:pPr>
        <w:spacing w:line="360" w:lineRule="auto"/>
        <w:ind w:firstLine="480" w:firstLineChars="200"/>
        <w:rPr>
          <w:rFonts w:hint="default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393700</wp:posOffset>
                </wp:positionV>
                <wp:extent cx="5389245" cy="2476500"/>
                <wp:effectExtent l="4445" t="4445" r="16510" b="184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6975" y="7251700"/>
                          <a:ext cx="538924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50C80">
                            <w:r>
                              <w:rPr>
                                <w:rFonts w:hint="eastAsia"/>
                                <w:lang w:eastAsia="zh-CN"/>
                              </w:rPr>
                              <w:drawing>
                                <wp:inline distT="0" distB="0" distL="0" distR="0">
                                  <wp:extent cx="5083810" cy="2335530"/>
                                  <wp:effectExtent l="0" t="0" r="0" b="0"/>
                                  <wp:docPr id="1030" name="图片 3" descr="未命名文件(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图片 3" descr="未命名文件(8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 l="79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3810" cy="2335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25pt;margin-top:31pt;height:195pt;width:424.35pt;z-index:251661312;mso-width-relative:page;mso-height-relative:page;" fillcolor="#FFFFFF [3201]" filled="t" stroked="t" coordsize="21600,21600" o:gfxdata="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65tS1QAAAAgBAAAPAAAAAAAAAAEAIAAAACIAAABkcnMvZG93bnJldi54bWxQSwECFAAU&#10;AAAACACHTuJAAkXaVGYCAADE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6850C80">
                      <w:r>
                        <w:rPr>
                          <w:rFonts w:hint="eastAsia"/>
                          <w:lang w:eastAsia="zh-CN"/>
                        </w:rPr>
                        <w:drawing>
                          <wp:inline distT="0" distB="0" distL="0" distR="0">
                            <wp:extent cx="5083810" cy="2335530"/>
                            <wp:effectExtent l="0" t="0" r="0" b="0"/>
                            <wp:docPr id="1030" name="图片 3" descr="未命名文件(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图片 3" descr="未命名文件(8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/>
                                    <a:srcRect l="79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3810" cy="2335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生产工艺</w:t>
      </w:r>
      <w:r>
        <w:rPr>
          <w:rFonts w:hint="default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63A12816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</w:p>
    <w:p w14:paraId="5A43D36B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</w:p>
    <w:p w14:paraId="4FCD0D52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</w:p>
    <w:p w14:paraId="2FF7F3CE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</w:p>
    <w:p w14:paraId="1C50881C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</w:p>
    <w:p w14:paraId="00398B5A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</w:p>
    <w:p w14:paraId="7E882E98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</w:p>
    <w:p w14:paraId="6E6A4C90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以流程图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直观</w:t>
      </w:r>
      <w:r>
        <w:rPr>
          <w:rFonts w:ascii="宋体" w:hAnsi="宋体" w:eastAsia="宋体" w:cs="宋体"/>
          <w:color w:val="auto"/>
          <w:sz w:val="24"/>
          <w:szCs w:val="24"/>
        </w:rPr>
        <w:t>呈现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水果葡萄酒整个生产各工艺环节，并针对不同原料组合，给出对应的工艺路线，</w:t>
      </w:r>
      <w:r>
        <w:rPr>
          <w:rFonts w:ascii="宋体" w:hAnsi="宋体" w:eastAsia="宋体" w:cs="宋体"/>
          <w:color w:val="auto"/>
          <w:sz w:val="24"/>
          <w:szCs w:val="24"/>
        </w:rPr>
        <w:t>贴合行业实际生产路径，清晰易懂、可操作性强。</w:t>
      </w:r>
    </w:p>
    <w:p w14:paraId="374407D0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感官指标</w:t>
      </w:r>
      <w:r>
        <w:rPr>
          <w:rFonts w:hint="default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58227105">
      <w:pPr>
        <w:spacing w:line="34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感官</w:t>
      </w:r>
      <w:r>
        <w:rPr>
          <w:rFonts w:hint="eastAsia" w:ascii="宋体" w:hAnsi="宋体" w:eastAsia="宋体" w:cs="宋体"/>
          <w:sz w:val="24"/>
          <w:szCs w:val="24"/>
        </w:rPr>
        <w:t>应符合表1的规定。</w:t>
      </w:r>
    </w:p>
    <w:p w14:paraId="5EB88913">
      <w:pPr>
        <w:pStyle w:val="17"/>
        <w:spacing w:line="340" w:lineRule="exact"/>
        <w:ind w:firstLine="0" w:firstLineChars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表1  感官指标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91"/>
        <w:gridCol w:w="283"/>
        <w:gridCol w:w="1920"/>
        <w:gridCol w:w="5168"/>
      </w:tblGrid>
      <w:tr w14:paraId="002F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9" w:type="dxa"/>
            <w:gridSpan w:val="4"/>
            <w:vAlign w:val="center"/>
          </w:tcPr>
          <w:p w14:paraId="58E135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  目</w:t>
            </w:r>
          </w:p>
        </w:tc>
        <w:tc>
          <w:tcPr>
            <w:tcW w:w="5168" w:type="dxa"/>
            <w:vAlign w:val="center"/>
          </w:tcPr>
          <w:p w14:paraId="0D3EF8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  标</w:t>
            </w:r>
          </w:p>
        </w:tc>
      </w:tr>
      <w:tr w14:paraId="4F27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5" w:type="dxa"/>
            <w:vMerge w:val="restart"/>
            <w:vAlign w:val="center"/>
          </w:tcPr>
          <w:p w14:paraId="5D4BE517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</w:t>
            </w:r>
          </w:p>
        </w:tc>
        <w:tc>
          <w:tcPr>
            <w:tcW w:w="2694" w:type="dxa"/>
            <w:gridSpan w:val="3"/>
            <w:vAlign w:val="center"/>
          </w:tcPr>
          <w:p w14:paraId="314F838D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  泽</w:t>
            </w:r>
          </w:p>
        </w:tc>
        <w:tc>
          <w:tcPr>
            <w:tcW w:w="5168" w:type="dxa"/>
            <w:vAlign w:val="center"/>
          </w:tcPr>
          <w:p w14:paraId="4A783A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具有所标示的水果相符的颜色</w:t>
            </w:r>
          </w:p>
        </w:tc>
      </w:tr>
      <w:tr w14:paraId="6848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5" w:type="dxa"/>
            <w:vMerge w:val="continue"/>
            <w:vAlign w:val="center"/>
          </w:tcPr>
          <w:p w14:paraId="65562FB5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 w:val="restart"/>
            <w:vAlign w:val="center"/>
          </w:tcPr>
          <w:p w14:paraId="3217C030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酒  体</w:t>
            </w:r>
          </w:p>
        </w:tc>
        <w:tc>
          <w:tcPr>
            <w:tcW w:w="1920" w:type="dxa"/>
            <w:vAlign w:val="center"/>
          </w:tcPr>
          <w:p w14:paraId="19F182F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清汁型水果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酒</w:t>
            </w:r>
          </w:p>
        </w:tc>
        <w:tc>
          <w:tcPr>
            <w:tcW w:w="5168" w:type="dxa"/>
            <w:vAlign w:val="center"/>
          </w:tcPr>
          <w:p w14:paraId="5D33C00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澄清、有光泽，无明显悬浮物、沉淀物（装瓶超过1年的允许有少量沉淀） </w:t>
            </w:r>
          </w:p>
        </w:tc>
      </w:tr>
      <w:tr w14:paraId="1EDA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85" w:type="dxa"/>
            <w:vMerge w:val="continue"/>
            <w:vAlign w:val="center"/>
          </w:tcPr>
          <w:p w14:paraId="71B8DE8E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 w14:paraId="778AC169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6698439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浊汁型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水果葡萄酒</w:t>
            </w:r>
          </w:p>
        </w:tc>
        <w:tc>
          <w:tcPr>
            <w:tcW w:w="5168" w:type="dxa"/>
            <w:vAlign w:val="center"/>
          </w:tcPr>
          <w:p w14:paraId="5083DC9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酒体均匀浑浊，静置后允许有沉淀，摇动后呈原均匀浑浊状态</w:t>
            </w:r>
          </w:p>
        </w:tc>
      </w:tr>
      <w:tr w14:paraId="364E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85" w:type="dxa"/>
            <w:vMerge w:val="continue"/>
            <w:vAlign w:val="center"/>
          </w:tcPr>
          <w:p w14:paraId="0D08BBA8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4E77D5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起泡程度</w:t>
            </w:r>
          </w:p>
        </w:tc>
        <w:tc>
          <w:tcPr>
            <w:tcW w:w="5168" w:type="dxa"/>
            <w:vAlign w:val="center"/>
          </w:tcPr>
          <w:p w14:paraId="6BBC41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含气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水果葡萄酒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注入杯中时应有细微的串珠状气泡升起，并有一定的持续性</w:t>
            </w:r>
          </w:p>
        </w:tc>
      </w:tr>
      <w:tr w14:paraId="1B15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9" w:type="dxa"/>
            <w:gridSpan w:val="4"/>
            <w:vAlign w:val="center"/>
          </w:tcPr>
          <w:p w14:paraId="613DFC01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香  气</w:t>
            </w:r>
          </w:p>
        </w:tc>
        <w:tc>
          <w:tcPr>
            <w:tcW w:w="5168" w:type="dxa"/>
            <w:vAlign w:val="center"/>
          </w:tcPr>
          <w:p w14:paraId="70C3B5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具有纯正、优雅、怡悦、和谐、浓郁的果香和酒香</w:t>
            </w:r>
          </w:p>
        </w:tc>
      </w:tr>
      <w:tr w14:paraId="5FED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gridSpan w:val="2"/>
            <w:vMerge w:val="restart"/>
            <w:vAlign w:val="center"/>
          </w:tcPr>
          <w:p w14:paraId="590A324A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滋  味</w:t>
            </w:r>
          </w:p>
        </w:tc>
        <w:tc>
          <w:tcPr>
            <w:tcW w:w="2203" w:type="dxa"/>
            <w:gridSpan w:val="2"/>
            <w:vAlign w:val="center"/>
          </w:tcPr>
          <w:p w14:paraId="55BFD0EF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干、半干型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水果葡萄酒</w:t>
            </w:r>
          </w:p>
        </w:tc>
        <w:tc>
          <w:tcPr>
            <w:tcW w:w="5168" w:type="dxa"/>
            <w:vAlign w:val="center"/>
          </w:tcPr>
          <w:p w14:paraId="634CC60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具有纯正、优雅的口味和悦人的果香，酒体完整</w:t>
            </w:r>
          </w:p>
        </w:tc>
      </w:tr>
      <w:tr w14:paraId="1916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 w14:paraId="1844CC59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30D0EFAC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半甜、甜型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水果葡萄酒</w:t>
            </w:r>
          </w:p>
        </w:tc>
        <w:tc>
          <w:tcPr>
            <w:tcW w:w="5168" w:type="dxa"/>
            <w:vAlign w:val="center"/>
          </w:tcPr>
          <w:p w14:paraId="64D54E6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具有甜润怡悦的口味，酸甜协调，酒体饱满</w:t>
            </w:r>
          </w:p>
        </w:tc>
      </w:tr>
      <w:tr w14:paraId="13EA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 w14:paraId="49110CC7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52385C63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含气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水果葡萄酒</w:t>
            </w:r>
          </w:p>
        </w:tc>
        <w:tc>
          <w:tcPr>
            <w:tcW w:w="5168" w:type="dxa"/>
            <w:vAlign w:val="center"/>
          </w:tcPr>
          <w:p w14:paraId="21377BC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具有纯净、怡人、和谐的口味和清新爽冽香气，有杀口力</w:t>
            </w:r>
          </w:p>
        </w:tc>
      </w:tr>
      <w:tr w14:paraId="140B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9" w:type="dxa"/>
            <w:gridSpan w:val="4"/>
            <w:vAlign w:val="center"/>
          </w:tcPr>
          <w:p w14:paraId="3E4BCA4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典型性</w:t>
            </w:r>
          </w:p>
        </w:tc>
        <w:tc>
          <w:tcPr>
            <w:tcW w:w="5168" w:type="dxa"/>
            <w:vAlign w:val="center"/>
          </w:tcPr>
          <w:p w14:paraId="524D24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具有标示的水果品种及产品类型应有的特征和风格</w:t>
            </w:r>
          </w:p>
        </w:tc>
      </w:tr>
    </w:tbl>
    <w:p w14:paraId="1AFDB022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</w:p>
    <w:p w14:paraId="67B5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9"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依据GB/T 15037《葡萄酒》中感官指标要求为基础，结合水果葡萄酒风格特点，对色泽、外观、香气、滋味和典型性进行针对性要求描述，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旨在建立水果葡萄酒的感官评价体系，为产品市场定位与消费者认知提供明确指引。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通过可观察、可判断的感官指标，为产品感官评定提供明确依据，</w:t>
      </w:r>
      <w:r>
        <w:rPr>
          <w:rFonts w:ascii="宋体" w:hAnsi="宋体" w:eastAsia="宋体" w:cs="宋体"/>
          <w:color w:val="auto"/>
          <w:sz w:val="24"/>
          <w:szCs w:val="24"/>
        </w:rPr>
        <w:t>保障品类特征与品质稳定性。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具体编制如下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：</w:t>
      </w:r>
    </w:p>
    <w:p w14:paraId="0D2C2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9"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（1）色泽：可用于酿酒的水果众多，颜色各异，因此产品色泽指标未逐一罗列，要求“具有所标示的水果相符的颜色”，以确保真实性；</w:t>
      </w:r>
    </w:p>
    <w:p w14:paraId="77F4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9"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（2）酒体：清汁型水果酒与葡萄酒描述基本一致，“浊汁型水果葡萄酒”酒体要求重在均匀，描述为“酒体均匀浑浊，静置后允许有沉淀，摇动后呈原均匀浑浊状态”。</w:t>
      </w:r>
    </w:p>
    <w:p w14:paraId="0C21F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9"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（3）香气：较葡萄酒增加了“浓郁”描述，要求香气丰富易辨识。要酿造出香气浓郁的产品，要选取成熟度好、糖分和风味物质积累足的原料，酿造工艺要采用“低温发酵、轻柔萃取”等保留香气。</w:t>
      </w:r>
    </w:p>
    <w:p w14:paraId="130A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9"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（4）滋味：纯正、怡悦是滋味的基础要去，再根据糖度不同和是否含气进行区分描述，通过口感可辨识。如半甜、甜型水果葡萄酒应“甜润”、“酒体饱满”；含气水果葡萄酒香气应“清新爽冽”，口感上有“杀口力”。</w:t>
      </w:r>
    </w:p>
    <w:p w14:paraId="0455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9"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（5）典型性：强调产品应有标示的水果品种及产品类型应有的特征和风格，保障品类特征与品质稳定性。</w:t>
      </w:r>
    </w:p>
    <w:p w14:paraId="03A31239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理化指标</w:t>
      </w:r>
      <w:r>
        <w:rPr>
          <w:rFonts w:hint="default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4C4780D3">
      <w:pPr>
        <w:spacing w:line="3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理化指标</w:t>
      </w:r>
      <w:r>
        <w:rPr>
          <w:rFonts w:hint="eastAsia" w:ascii="宋体" w:hAnsi="宋体" w:eastAsia="宋体" w:cs="宋体"/>
          <w:sz w:val="24"/>
          <w:szCs w:val="24"/>
        </w:rPr>
        <w:t>应符合表2的规定。</w:t>
      </w:r>
    </w:p>
    <w:p w14:paraId="54604C86">
      <w:pPr>
        <w:pStyle w:val="17"/>
        <w:spacing w:line="340" w:lineRule="exact"/>
        <w:ind w:firstLine="0" w:firstLineChars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表2  理化指标</w:t>
      </w:r>
    </w:p>
    <w:tbl>
      <w:tblPr>
        <w:tblStyle w:val="6"/>
        <w:tblW w:w="8647" w:type="dxa"/>
        <w:tblInd w:w="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410"/>
        <w:gridCol w:w="1141"/>
        <w:gridCol w:w="3734"/>
      </w:tblGrid>
      <w:tr w14:paraId="40E0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6DC211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  目</w:t>
            </w:r>
          </w:p>
        </w:tc>
        <w:tc>
          <w:tcPr>
            <w:tcW w:w="3734" w:type="dxa"/>
            <w:vAlign w:val="center"/>
          </w:tcPr>
          <w:p w14:paraId="33F7F6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  标</w:t>
            </w:r>
          </w:p>
        </w:tc>
      </w:tr>
      <w:tr w14:paraId="6F16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restart"/>
            <w:vAlign w:val="center"/>
          </w:tcPr>
          <w:p w14:paraId="3719817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酒精度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（20℃）（体积分数）/（%）</w:t>
            </w:r>
          </w:p>
        </w:tc>
        <w:tc>
          <w:tcPr>
            <w:tcW w:w="2551" w:type="dxa"/>
            <w:gridSpan w:val="2"/>
            <w:vAlign w:val="center"/>
          </w:tcPr>
          <w:p w14:paraId="3E029C1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酒</w:t>
            </w:r>
          </w:p>
          <w:p w14:paraId="71B5B3D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（除低度水果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酒）</w:t>
            </w:r>
          </w:p>
        </w:tc>
        <w:tc>
          <w:tcPr>
            <w:tcW w:w="3734" w:type="dxa"/>
            <w:vAlign w:val="center"/>
          </w:tcPr>
          <w:p w14:paraId="013B53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≥7.0</w:t>
            </w:r>
          </w:p>
        </w:tc>
      </w:tr>
      <w:tr w14:paraId="1FE9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4552C67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6BC657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低度水果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酒</w:t>
            </w:r>
          </w:p>
        </w:tc>
        <w:tc>
          <w:tcPr>
            <w:tcW w:w="3734" w:type="dxa"/>
            <w:vAlign w:val="center"/>
          </w:tcPr>
          <w:p w14:paraId="01E676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0.5～6.9</w:t>
            </w:r>
          </w:p>
        </w:tc>
      </w:tr>
      <w:tr w14:paraId="0496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restart"/>
            <w:vAlign w:val="center"/>
          </w:tcPr>
          <w:p w14:paraId="781A1D6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总糖（以葡萄糖计）/（g/L）</w:t>
            </w:r>
          </w:p>
        </w:tc>
        <w:tc>
          <w:tcPr>
            <w:tcW w:w="2551" w:type="dxa"/>
            <w:gridSpan w:val="2"/>
            <w:vAlign w:val="center"/>
          </w:tcPr>
          <w:p w14:paraId="783175C6">
            <w:pP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干型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734" w:type="dxa"/>
            <w:vAlign w:val="center"/>
          </w:tcPr>
          <w:p w14:paraId="432A2C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.0</w:t>
            </w:r>
          </w:p>
        </w:tc>
      </w:tr>
      <w:tr w14:paraId="316B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06AED59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678372">
            <w:pP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半干型</w:t>
            </w:r>
          </w:p>
        </w:tc>
        <w:tc>
          <w:tcPr>
            <w:tcW w:w="3734" w:type="dxa"/>
            <w:vAlign w:val="center"/>
          </w:tcPr>
          <w:p w14:paraId="33CAF3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.1～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.0</w:t>
            </w:r>
          </w:p>
        </w:tc>
      </w:tr>
      <w:tr w14:paraId="1666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1DAD47D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B9DC18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半甜型</w:t>
            </w:r>
          </w:p>
        </w:tc>
        <w:tc>
          <w:tcPr>
            <w:tcW w:w="3734" w:type="dxa"/>
            <w:vAlign w:val="center"/>
          </w:tcPr>
          <w:p w14:paraId="7B1F63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.1～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80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.0</w:t>
            </w:r>
          </w:p>
        </w:tc>
      </w:tr>
      <w:tr w14:paraId="1E9F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661ACE3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DDB14A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甜型</w:t>
            </w:r>
          </w:p>
        </w:tc>
        <w:tc>
          <w:tcPr>
            <w:tcW w:w="3734" w:type="dxa"/>
            <w:vAlign w:val="center"/>
          </w:tcPr>
          <w:p w14:paraId="0F26AB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0.1</w:t>
            </w:r>
          </w:p>
        </w:tc>
      </w:tr>
      <w:tr w14:paraId="31EF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13" w:type="dxa"/>
            <w:gridSpan w:val="3"/>
            <w:vAlign w:val="center"/>
          </w:tcPr>
          <w:p w14:paraId="5EF8286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干浸出物/（g/L）</w:t>
            </w:r>
          </w:p>
        </w:tc>
        <w:tc>
          <w:tcPr>
            <w:tcW w:w="3734" w:type="dxa"/>
            <w:vAlign w:val="center"/>
          </w:tcPr>
          <w:p w14:paraId="049B43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≥13</w:t>
            </w:r>
          </w:p>
        </w:tc>
      </w:tr>
      <w:tr w14:paraId="4946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1A26456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挥发酸（以乙酸计）/（g/L）</w:t>
            </w:r>
          </w:p>
        </w:tc>
        <w:tc>
          <w:tcPr>
            <w:tcW w:w="3734" w:type="dxa"/>
            <w:vAlign w:val="center"/>
          </w:tcPr>
          <w:p w14:paraId="0A5D15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</w:tr>
      <w:tr w14:paraId="3AB8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restart"/>
            <w:vAlign w:val="center"/>
          </w:tcPr>
          <w:p w14:paraId="329B02C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总二氧化硫/（mg/L）</w:t>
            </w:r>
          </w:p>
        </w:tc>
        <w:tc>
          <w:tcPr>
            <w:tcW w:w="2551" w:type="dxa"/>
            <w:gridSpan w:val="2"/>
            <w:vAlign w:val="center"/>
          </w:tcPr>
          <w:p w14:paraId="4835298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干、半干、半甜</w:t>
            </w:r>
          </w:p>
        </w:tc>
        <w:tc>
          <w:tcPr>
            <w:tcW w:w="3734" w:type="dxa"/>
            <w:vAlign w:val="center"/>
          </w:tcPr>
          <w:p w14:paraId="122288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≤250</w:t>
            </w:r>
          </w:p>
        </w:tc>
      </w:tr>
      <w:tr w14:paraId="6060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11A78D3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F6AD65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甜型</w:t>
            </w:r>
          </w:p>
        </w:tc>
        <w:tc>
          <w:tcPr>
            <w:tcW w:w="3734" w:type="dxa"/>
            <w:vAlign w:val="center"/>
          </w:tcPr>
          <w:p w14:paraId="557636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≤400</w:t>
            </w:r>
          </w:p>
        </w:tc>
      </w:tr>
      <w:tr w14:paraId="4DFD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62" w:type="dxa"/>
            <w:vMerge w:val="restart"/>
            <w:vAlign w:val="center"/>
          </w:tcPr>
          <w:p w14:paraId="60621CC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二氧化碳（20℃）/MPa</w:t>
            </w:r>
          </w:p>
        </w:tc>
        <w:tc>
          <w:tcPr>
            <w:tcW w:w="1410" w:type="dxa"/>
            <w:vMerge w:val="restart"/>
            <w:vAlign w:val="center"/>
          </w:tcPr>
          <w:p w14:paraId="63EEAC6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低泡（微泡）水果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酒</w:t>
            </w:r>
          </w:p>
        </w:tc>
        <w:tc>
          <w:tcPr>
            <w:tcW w:w="1141" w:type="dxa"/>
            <w:vAlign w:val="center"/>
          </w:tcPr>
          <w:p w14:paraId="576E7AC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＜250ml/瓶</w:t>
            </w:r>
          </w:p>
        </w:tc>
        <w:tc>
          <w:tcPr>
            <w:tcW w:w="3734" w:type="dxa"/>
            <w:vAlign w:val="center"/>
          </w:tcPr>
          <w:p w14:paraId="766052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0.05～0.29</w:t>
            </w:r>
          </w:p>
        </w:tc>
      </w:tr>
      <w:tr w14:paraId="75A8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62" w:type="dxa"/>
            <w:vMerge w:val="continue"/>
            <w:vAlign w:val="center"/>
          </w:tcPr>
          <w:p w14:paraId="7751316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272DC06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BB985F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≥250ml/瓶</w:t>
            </w:r>
          </w:p>
        </w:tc>
        <w:tc>
          <w:tcPr>
            <w:tcW w:w="3734" w:type="dxa"/>
            <w:vAlign w:val="center"/>
          </w:tcPr>
          <w:p w14:paraId="671623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0.05～0.34</w:t>
            </w:r>
          </w:p>
        </w:tc>
      </w:tr>
      <w:tr w14:paraId="589F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2" w:type="dxa"/>
            <w:vMerge w:val="continue"/>
            <w:vAlign w:val="center"/>
          </w:tcPr>
          <w:p w14:paraId="2C88031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8A1F7B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起泡水果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酒</w:t>
            </w:r>
          </w:p>
        </w:tc>
        <w:tc>
          <w:tcPr>
            <w:tcW w:w="1141" w:type="dxa"/>
            <w:vAlign w:val="center"/>
          </w:tcPr>
          <w:p w14:paraId="79CBB87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＜250ml/瓶</w:t>
            </w:r>
          </w:p>
        </w:tc>
        <w:tc>
          <w:tcPr>
            <w:tcW w:w="3734" w:type="dxa"/>
            <w:vAlign w:val="center"/>
          </w:tcPr>
          <w:p w14:paraId="1310D1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≥0.3</w:t>
            </w:r>
          </w:p>
        </w:tc>
      </w:tr>
      <w:tr w14:paraId="7360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2" w:type="dxa"/>
            <w:vMerge w:val="continue"/>
            <w:vAlign w:val="center"/>
          </w:tcPr>
          <w:p w14:paraId="464A805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4157D0E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E791AA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≥250ml/瓶</w:t>
            </w:r>
          </w:p>
        </w:tc>
        <w:tc>
          <w:tcPr>
            <w:tcW w:w="3734" w:type="dxa"/>
            <w:vAlign w:val="center"/>
          </w:tcPr>
          <w:p w14:paraId="33B5FE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≥0.35</w:t>
            </w:r>
          </w:p>
        </w:tc>
      </w:tr>
      <w:tr w14:paraId="0517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2" w:type="dxa"/>
            <w:vMerge w:val="restart"/>
            <w:vAlign w:val="center"/>
          </w:tcPr>
          <w:p w14:paraId="5F58D4A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浊度/（NTU）</w:t>
            </w:r>
          </w:p>
        </w:tc>
        <w:tc>
          <w:tcPr>
            <w:tcW w:w="2551" w:type="dxa"/>
            <w:gridSpan w:val="2"/>
            <w:vAlign w:val="center"/>
          </w:tcPr>
          <w:p w14:paraId="241EE09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清汁型水果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酒</w:t>
            </w:r>
          </w:p>
        </w:tc>
        <w:tc>
          <w:tcPr>
            <w:tcW w:w="3734" w:type="dxa"/>
            <w:vAlign w:val="center"/>
          </w:tcPr>
          <w:p w14:paraId="516499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＜10.0</w:t>
            </w:r>
          </w:p>
        </w:tc>
      </w:tr>
      <w:tr w14:paraId="384E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2" w:type="dxa"/>
            <w:vMerge w:val="continue"/>
            <w:vAlign w:val="center"/>
          </w:tcPr>
          <w:p w14:paraId="41D1CA66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393376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浊汁型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水果葡萄酒</w:t>
            </w:r>
          </w:p>
        </w:tc>
        <w:tc>
          <w:tcPr>
            <w:tcW w:w="3734" w:type="dxa"/>
            <w:vAlign w:val="center"/>
          </w:tcPr>
          <w:p w14:paraId="5B3D0A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≥10.0</w:t>
            </w:r>
          </w:p>
        </w:tc>
      </w:tr>
      <w:tr w14:paraId="6ED2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56EEA0E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铁/（mg/L）</w:t>
            </w:r>
          </w:p>
        </w:tc>
        <w:tc>
          <w:tcPr>
            <w:tcW w:w="3734" w:type="dxa"/>
            <w:vAlign w:val="center"/>
          </w:tcPr>
          <w:p w14:paraId="37903E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8.0</w:t>
            </w:r>
          </w:p>
        </w:tc>
      </w:tr>
      <w:tr w14:paraId="4B56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60CBEFE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铜/（mg/L）</w:t>
            </w:r>
          </w:p>
        </w:tc>
        <w:tc>
          <w:tcPr>
            <w:tcW w:w="3734" w:type="dxa"/>
            <w:vAlign w:val="center"/>
          </w:tcPr>
          <w:p w14:paraId="04B71A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1.0</w:t>
            </w:r>
          </w:p>
        </w:tc>
      </w:tr>
      <w:tr w14:paraId="2CD5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913" w:type="dxa"/>
            <w:gridSpan w:val="3"/>
            <w:vAlign w:val="center"/>
          </w:tcPr>
          <w:p w14:paraId="4786ACC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甲醇/（mg/L）</w:t>
            </w:r>
          </w:p>
        </w:tc>
        <w:tc>
          <w:tcPr>
            <w:tcW w:w="3734" w:type="dxa"/>
            <w:vAlign w:val="center"/>
          </w:tcPr>
          <w:p w14:paraId="77C0E6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≤380</w:t>
            </w:r>
          </w:p>
        </w:tc>
      </w:tr>
      <w:tr w14:paraId="62E1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913" w:type="dxa"/>
            <w:gridSpan w:val="3"/>
            <w:vAlign w:val="center"/>
          </w:tcPr>
          <w:p w14:paraId="79FF7275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氰化物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superscript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（以HCN计）/（mg/L）</w:t>
            </w:r>
          </w:p>
        </w:tc>
        <w:tc>
          <w:tcPr>
            <w:tcW w:w="3734" w:type="dxa"/>
            <w:vAlign w:val="center"/>
          </w:tcPr>
          <w:p w14:paraId="3069E4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8.0</w:t>
            </w:r>
          </w:p>
        </w:tc>
      </w:tr>
      <w:tr w14:paraId="2F22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913" w:type="dxa"/>
            <w:gridSpan w:val="3"/>
            <w:vAlign w:val="center"/>
          </w:tcPr>
          <w:p w14:paraId="582DFB7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苯甲酸或苯甲酸钠（以苯甲酸计）/（mg/L）</w:t>
            </w:r>
          </w:p>
        </w:tc>
        <w:tc>
          <w:tcPr>
            <w:tcW w:w="3734" w:type="dxa"/>
            <w:vAlign w:val="center"/>
          </w:tcPr>
          <w:p w14:paraId="797EFD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≤50</w:t>
            </w:r>
          </w:p>
        </w:tc>
      </w:tr>
      <w:tr w14:paraId="680A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296DB4A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山梨酸或山梨酸钾（以山梨酸计）/（g/kg）</w:t>
            </w:r>
          </w:p>
        </w:tc>
        <w:tc>
          <w:tcPr>
            <w:tcW w:w="3734" w:type="dxa"/>
            <w:vAlign w:val="center"/>
          </w:tcPr>
          <w:p w14:paraId="6D2989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≤0.6</w:t>
            </w:r>
          </w:p>
        </w:tc>
      </w:tr>
      <w:tr w14:paraId="404E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47" w:type="dxa"/>
            <w:gridSpan w:val="4"/>
            <w:vAlign w:val="center"/>
          </w:tcPr>
          <w:p w14:paraId="421983F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注：总酸不作要求，以实测值表示（以酒石酸计，g/L）</w:t>
            </w:r>
          </w:p>
        </w:tc>
      </w:tr>
      <w:tr w14:paraId="560B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47" w:type="dxa"/>
            <w:gridSpan w:val="4"/>
            <w:vAlign w:val="center"/>
          </w:tcPr>
          <w:p w14:paraId="253AB2A0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a.酒精度标签标示值与实测值允许差不得超过±1.0%（体积分数）</w:t>
            </w:r>
          </w:p>
          <w:p w14:paraId="585F3B94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b.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当总糖与总酸（以酒石酸计，g/L）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的差值≤2.0g/L时，含糖最高为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.0g/L</w:t>
            </w:r>
          </w:p>
          <w:p w14:paraId="46031823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c.仅限含有以青梅、杨梅、海棠、花楸为原料的水果葡萄酒</w:t>
            </w:r>
          </w:p>
        </w:tc>
      </w:tr>
    </w:tbl>
    <w:p w14:paraId="3673CA69">
      <w:pPr>
        <w:spacing w:line="3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60EFF9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理化指标主要是依据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GB/T 15037《葡萄酒》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、NY/T 1508  《绿色食品 果酒》和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GB/T 17204《饮料酒术语和分类》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为基础，结合水果葡萄酒特点编制：</w:t>
      </w:r>
    </w:p>
    <w:p w14:paraId="23549A72">
      <w:pPr>
        <w:pStyle w:val="1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酒精度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：酒精度与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GB/T 15037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GB/T 17204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一致；</w:t>
      </w:r>
    </w:p>
    <w:p w14:paraId="76EDC0DC">
      <w:pPr>
        <w:pStyle w:val="1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总糖：糖度可以给人带来怡悦感，一定程度上增加酒体饱满度。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结合中国消费者喜甜的口感偏好，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GB/T 15037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基础上提高了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干型、半干型、半甜型、甜型4种类型总糖含量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。</w:t>
      </w:r>
    </w:p>
    <w:p w14:paraId="5A6EFE9C">
      <w:pPr>
        <w:pStyle w:val="1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干浸出物：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GB/T 15037《葡萄酒》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中白葡萄酒干浸出物≥16g/L，但鲜食</w:t>
      </w:r>
      <w:r>
        <w:rPr>
          <w:rFonts w:ascii="宋体" w:hAnsi="宋体" w:eastAsia="宋体" w:cs="宋体"/>
          <w:color w:val="auto"/>
          <w:sz w:val="24"/>
          <w:szCs w:val="24"/>
        </w:rPr>
        <w:t>水果水分含量高、可溶性固形物、果胶、多糖、矿物质等成分含量显著低于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酿酒</w:t>
      </w:r>
      <w:r>
        <w:rPr>
          <w:rFonts w:ascii="宋体" w:hAnsi="宋体" w:eastAsia="宋体" w:cs="宋体"/>
          <w:color w:val="auto"/>
          <w:sz w:val="24"/>
          <w:szCs w:val="24"/>
        </w:rPr>
        <w:t>葡萄；且多数采用清汁发酵、适度澄清工艺，干浸出物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会</w:t>
      </w:r>
      <w:r>
        <w:rPr>
          <w:rFonts w:ascii="宋体" w:hAnsi="宋体" w:eastAsia="宋体" w:cs="宋体"/>
          <w:color w:val="auto"/>
          <w:sz w:val="24"/>
          <w:szCs w:val="24"/>
        </w:rPr>
        <w:t>低于葡萄酒。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综合NY/T 1508  《绿色食品 果酒》干浸出物≥12g/L，将水果葡萄酒干浸出物定为≥13g/L，符合水果原料实际情况同时保证酒体质量。</w:t>
      </w:r>
    </w:p>
    <w:p w14:paraId="7C88EE7A">
      <w:pPr>
        <w:pStyle w:val="1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总二氧化硫、二氧化碳、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挥发酸、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铁、铜、苯甲酸或苯甲酸钠要求与GB/T 15037《葡萄酒》要求一致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。</w:t>
      </w:r>
    </w:p>
    <w:p w14:paraId="06916653">
      <w:pPr>
        <w:pStyle w:val="1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甲醇：依据NY/T 1508  《绿色食品 果酒》甲醇≤400mg/L和GB/T 15037《葡萄酒》红葡萄酒甲醇≤400mg/L，为保证食品安全加严控制将甲醇含量定为≤380mg/L。</w:t>
      </w:r>
    </w:p>
    <w:p w14:paraId="2E498219">
      <w:pPr>
        <w:pStyle w:val="1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氰化物：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考虑杨梅、青梅、海棠、花楸等水果含氢氰酸，对于使用此类水果作为原料时，规定氰化物限量，限量值与GB 2758 《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 xml:space="preserve">食品安全国家标准 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发酵酒及其配制酒》</w:t>
      </w: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要求一致。</w:t>
      </w:r>
    </w:p>
    <w:p w14:paraId="1C909C4B">
      <w:pPr>
        <w:pStyle w:val="1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山梨酸或山梨酸钾限量要求与GB2760《食品安全国家标准 食品添加剂使用标准》果酒的限量要求一致。</w:t>
      </w:r>
    </w:p>
    <w:p w14:paraId="3F99D539">
      <w:pPr>
        <w:pStyle w:val="1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通过不同原料酿造的清汁和浊汁型水果葡萄酒浊度检测，定为清汁型浊度值＜10NTU，浊汁型浊度值≥10NTU。</w:t>
      </w:r>
    </w:p>
    <w:p w14:paraId="21CF1191">
      <w:pPr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本部分指标体系的建立，有助于实现水果葡萄酒的可控可测，并为后续产区认证与质量追溯提供技术依据。</w:t>
      </w:r>
    </w:p>
    <w:p w14:paraId="661B03E3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hAnsi="宋体" w:cs="Times New Roman"/>
          <w:color w:val="0000FF"/>
          <w:sz w:val="24"/>
          <w:szCs w:val="24"/>
          <w:lang w:val="en-US" w:eastAsia="zh-CN"/>
        </w:rPr>
      </w:pPr>
    </w:p>
    <w:p w14:paraId="03847EFD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卫生</w:t>
      </w:r>
      <w:r>
        <w:rPr>
          <w:rFonts w:hint="default" w:ascii="宋体" w:hAnsi="宋体" w:eastAsia="宋体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49581361">
      <w:pPr>
        <w:pStyle w:val="19"/>
        <w:numPr>
          <w:ilvl w:val="0"/>
          <w:numId w:val="0"/>
        </w:numPr>
        <w:spacing w:before="156" w:after="156" w:line="340" w:lineRule="exact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微生物指标</w:t>
      </w:r>
    </w:p>
    <w:p w14:paraId="566C6760">
      <w:pPr>
        <w:spacing w:line="34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微生物指标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应符合表3的规定。</w:t>
      </w:r>
    </w:p>
    <w:p w14:paraId="1C9AA9BD">
      <w:pPr>
        <w:spacing w:line="340" w:lineRule="exact"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Cs/>
          <w:iCs/>
          <w:sz w:val="18"/>
          <w:szCs w:val="18"/>
        </w:rPr>
        <w:t xml:space="preserve">表3  </w:t>
      </w:r>
      <w:r>
        <w:rPr>
          <w:rFonts w:hint="eastAsia" w:ascii="宋体" w:hAnsi="宋体" w:eastAsia="宋体" w:cs="宋体"/>
          <w:kern w:val="0"/>
          <w:sz w:val="18"/>
          <w:szCs w:val="18"/>
        </w:rPr>
        <w:t>微生物指标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282"/>
        <w:gridCol w:w="2282"/>
        <w:gridCol w:w="1989"/>
      </w:tblGrid>
      <w:tr w14:paraId="449D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2034" w:type="dxa"/>
            <w:vMerge w:val="restart"/>
            <w:vAlign w:val="center"/>
          </w:tcPr>
          <w:p w14:paraId="4D81BDD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  目</w:t>
            </w:r>
          </w:p>
        </w:tc>
        <w:tc>
          <w:tcPr>
            <w:tcW w:w="6553" w:type="dxa"/>
            <w:gridSpan w:val="3"/>
            <w:vAlign w:val="center"/>
          </w:tcPr>
          <w:p w14:paraId="5EC0056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采样方案及限量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14:paraId="65CD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4" w:type="dxa"/>
            <w:vMerge w:val="continue"/>
            <w:vAlign w:val="center"/>
          </w:tcPr>
          <w:p w14:paraId="1168FFC2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vAlign w:val="center"/>
          </w:tcPr>
          <w:p w14:paraId="32D6DB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82" w:type="dxa"/>
            <w:vAlign w:val="center"/>
          </w:tcPr>
          <w:p w14:paraId="53FFEAD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1989" w:type="dxa"/>
            <w:vAlign w:val="center"/>
          </w:tcPr>
          <w:p w14:paraId="677B7D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</w:tr>
      <w:tr w14:paraId="51FB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4" w:type="dxa"/>
            <w:vAlign w:val="center"/>
          </w:tcPr>
          <w:p w14:paraId="116382D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沙门氏菌</w:t>
            </w:r>
          </w:p>
        </w:tc>
        <w:tc>
          <w:tcPr>
            <w:tcW w:w="2282" w:type="dxa"/>
            <w:vAlign w:val="center"/>
          </w:tcPr>
          <w:p w14:paraId="14FA27A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82" w:type="dxa"/>
            <w:vAlign w:val="center"/>
          </w:tcPr>
          <w:p w14:paraId="79406BF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989" w:type="dxa"/>
            <w:vAlign w:val="center"/>
          </w:tcPr>
          <w:p w14:paraId="146961D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0/25mL</w:t>
            </w:r>
          </w:p>
        </w:tc>
      </w:tr>
      <w:tr w14:paraId="6250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4" w:type="dxa"/>
            <w:vAlign w:val="center"/>
          </w:tcPr>
          <w:p w14:paraId="0ECC33C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金黄色葡萄球菌</w:t>
            </w:r>
          </w:p>
        </w:tc>
        <w:tc>
          <w:tcPr>
            <w:tcW w:w="2282" w:type="dxa"/>
            <w:vAlign w:val="center"/>
          </w:tcPr>
          <w:p w14:paraId="341C84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82" w:type="dxa"/>
            <w:vAlign w:val="center"/>
          </w:tcPr>
          <w:p w14:paraId="66EAC2B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989" w:type="dxa"/>
            <w:vAlign w:val="center"/>
          </w:tcPr>
          <w:p w14:paraId="51A2375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0/25mL</w:t>
            </w:r>
          </w:p>
        </w:tc>
      </w:tr>
      <w:tr w14:paraId="430A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87" w:type="dxa"/>
            <w:gridSpan w:val="4"/>
            <w:vAlign w:val="center"/>
          </w:tcPr>
          <w:p w14:paraId="60408F0D">
            <w:pPr>
              <w:pStyle w:val="2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 样品的分析及处理按GB 4789.25执行。</w:t>
            </w:r>
          </w:p>
        </w:tc>
      </w:tr>
    </w:tbl>
    <w:p w14:paraId="3DB4C3B9">
      <w:pPr>
        <w:pStyle w:val="19"/>
        <w:numPr>
          <w:ilvl w:val="0"/>
          <w:numId w:val="0"/>
        </w:numPr>
        <w:spacing w:line="34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污染物限量</w:t>
      </w:r>
    </w:p>
    <w:p w14:paraId="5A5C90E3">
      <w:pPr>
        <w:spacing w:line="340" w:lineRule="exact"/>
        <w:ind w:firstLine="480" w:firstLineChars="200"/>
        <w:rPr>
          <w:rFonts w:hint="eastAsia" w:ascii="宋体" w:hAnsi="宋体" w:eastAsia="宋体" w:cs="宋体"/>
          <w:bCs/>
          <w:iCs/>
          <w:sz w:val="24"/>
          <w:szCs w:val="24"/>
        </w:rPr>
      </w:pPr>
      <w:r>
        <w:rPr>
          <w:rFonts w:hint="eastAsia" w:ascii="宋体" w:hAnsi="宋体" w:eastAsia="宋体" w:cs="宋体"/>
          <w:bCs/>
          <w:iCs/>
          <w:sz w:val="24"/>
          <w:szCs w:val="24"/>
        </w:rPr>
        <w:t>应符合表4的规定。</w:t>
      </w:r>
    </w:p>
    <w:p w14:paraId="4398E641">
      <w:pPr>
        <w:spacing w:line="340" w:lineRule="exact"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Cs/>
          <w:iCs/>
          <w:sz w:val="18"/>
          <w:szCs w:val="18"/>
        </w:rPr>
        <w:t xml:space="preserve">表4  </w:t>
      </w:r>
      <w:r>
        <w:rPr>
          <w:rFonts w:hint="eastAsia" w:ascii="宋体" w:hAnsi="宋体" w:eastAsia="宋体" w:cs="宋体"/>
          <w:kern w:val="0"/>
          <w:sz w:val="18"/>
          <w:szCs w:val="18"/>
        </w:rPr>
        <w:t>污染物限量</w:t>
      </w:r>
    </w:p>
    <w:tbl>
      <w:tblPr>
        <w:tblStyle w:val="6"/>
        <w:tblW w:w="0" w:type="auto"/>
        <w:tblInd w:w="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1"/>
        <w:gridCol w:w="4016"/>
      </w:tblGrid>
      <w:tr w14:paraId="6C60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1" w:type="dxa"/>
            <w:vAlign w:val="center"/>
          </w:tcPr>
          <w:p w14:paraId="78342B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  目</w:t>
            </w:r>
          </w:p>
        </w:tc>
        <w:tc>
          <w:tcPr>
            <w:tcW w:w="4016" w:type="dxa"/>
            <w:vAlign w:val="center"/>
          </w:tcPr>
          <w:p w14:paraId="0EA483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  量</w:t>
            </w:r>
          </w:p>
        </w:tc>
      </w:tr>
      <w:tr w14:paraId="3D8E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1" w:type="dxa"/>
            <w:vAlign w:val="center"/>
          </w:tcPr>
          <w:p w14:paraId="450897E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铅/（mg/kg）</w:t>
            </w:r>
          </w:p>
        </w:tc>
        <w:tc>
          <w:tcPr>
            <w:tcW w:w="4016" w:type="dxa"/>
            <w:vAlign w:val="center"/>
          </w:tcPr>
          <w:p w14:paraId="5E3835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</w:tr>
    </w:tbl>
    <w:p w14:paraId="3112159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微生物指标中的沙门氏菌和金黄色葡萄球菌与GB 2758 《食品安全国家标准 发酵酒及其配制酒》要求一致；污染物限量中铅的限量与GB 2762《食品安全国家标准 食品中污染物限量》要求一致。</w:t>
      </w:r>
    </w:p>
    <w:p w14:paraId="47B30F54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val="en-US" w:eastAsia="zh-CN"/>
        </w:rPr>
        <w:t>e.6）净含量及允许短缺量要求</w:t>
      </w:r>
    </w:p>
    <w:p w14:paraId="0892635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/>
        <w:textAlignment w:val="auto"/>
        <w:rPr>
          <w:rFonts w:hint="eastAsia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lang w:val="en-US" w:eastAsia="zh-CN"/>
        </w:rPr>
        <w:t>净含量及允许短缺量要求按JJF 1070《定量包装商品净含量计量检验规则》制定。</w:t>
      </w:r>
    </w:p>
    <w:p w14:paraId="219F3398">
      <w:pPr>
        <w:pStyle w:val="19"/>
        <w:numPr>
          <w:ilvl w:val="0"/>
          <w:numId w:val="0"/>
        </w:numPr>
        <w:spacing w:line="340" w:lineRule="exac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.</w:t>
      </w:r>
      <w:r>
        <w:rPr>
          <w:rFonts w:hint="eastAsia"/>
          <w:color w:val="auto"/>
        </w:rPr>
        <w:t>生产加工过程卫生要求</w:t>
      </w:r>
    </w:p>
    <w:p w14:paraId="0B099061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  <w:t>生产加工过程卫生严格按照GB 14881《食品安全国家标准 食品生产通用卫生规范》的规定控制。</w:t>
      </w:r>
    </w:p>
    <w:p w14:paraId="7432587E">
      <w:pPr>
        <w:pStyle w:val="20"/>
        <w:numPr>
          <w:ilvl w:val="0"/>
          <w:numId w:val="0"/>
        </w:numPr>
        <w:spacing w:line="340" w:lineRule="exact"/>
        <w:rPr>
          <w:rFonts w:hint="eastAsia" w:hAnsi="宋体"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  <w:lang w:val="en-US" w:eastAsia="zh-CN"/>
        </w:rPr>
        <w:t>j.</w:t>
      </w:r>
      <w:r>
        <w:rPr>
          <w:rFonts w:hint="eastAsia" w:hAnsi="宋体"/>
          <w:color w:val="auto"/>
          <w:szCs w:val="21"/>
        </w:rPr>
        <w:t>检验方法</w:t>
      </w:r>
    </w:p>
    <w:p w14:paraId="6BD8EA1B">
      <w:pPr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  <w:t>本条款针对前文提到的产品指标，依据GB/T 15038 、GB 5009.28、GB5009.225、GB 5009.266、GB 5009.36、GB 4789.4、GB 4789.10、JJF1070等检测方法要求对各项指标进行检测，符合水果葡萄酒生产工艺要求。</w:t>
      </w:r>
    </w:p>
    <w:p w14:paraId="5446D4D2">
      <w:pPr>
        <w:autoSpaceDE w:val="0"/>
        <w:autoSpaceDN w:val="0"/>
        <w:adjustRightInd w:val="0"/>
        <w:spacing w:line="340" w:lineRule="exact"/>
        <w:jc w:val="left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h.判定、</w:t>
      </w:r>
      <w:r>
        <w:rPr>
          <w:rFonts w:hint="eastAsia" w:ascii="黑体" w:eastAsia="黑体"/>
          <w:color w:val="auto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标志、标签、包装、运输和贮存</w:t>
      </w:r>
    </w:p>
    <w:p w14:paraId="38F46699">
      <w:pPr>
        <w:pStyle w:val="17"/>
        <w:tabs>
          <w:tab w:val="left" w:pos="1440"/>
        </w:tabs>
        <w:spacing w:line="360" w:lineRule="auto"/>
        <w:ind w:firstLine="480"/>
        <w:rPr>
          <w:rFonts w:hint="eastAsia" w:hAnsi="宋体"/>
          <w:color w:val="auto"/>
          <w:sz w:val="24"/>
          <w:szCs w:val="24"/>
        </w:rPr>
      </w:pPr>
      <w:bookmarkStart w:id="2" w:name="_Toc514918825"/>
      <w:bookmarkStart w:id="3" w:name="_Toc7090680"/>
      <w:r>
        <w:rPr>
          <w:rFonts w:hint="eastAsia" w:hAnsi="宋体"/>
          <w:color w:val="auto"/>
          <w:sz w:val="24"/>
          <w:szCs w:val="24"/>
        </w:rPr>
        <w:t xml:space="preserve">依据或参考GB/T 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15037</w:t>
      </w:r>
      <w:r>
        <w:rPr>
          <w:rFonts w:hint="eastAsia" w:hAnsi="宋体"/>
          <w:color w:val="auto"/>
          <w:sz w:val="24"/>
          <w:szCs w:val="24"/>
        </w:rPr>
        <w:t>、GB 7718、GB/T 191规定要求，产品出厂前应核查生产记录，符合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水果葡萄酒</w:t>
      </w:r>
      <w:r>
        <w:rPr>
          <w:rFonts w:hint="eastAsia" w:hAnsi="宋体"/>
          <w:color w:val="auto"/>
          <w:sz w:val="24"/>
          <w:szCs w:val="24"/>
        </w:rPr>
        <w:t>生产工艺要求。</w:t>
      </w:r>
      <w:bookmarkEnd w:id="2"/>
      <w:bookmarkEnd w:id="3"/>
    </w:p>
    <w:p w14:paraId="1DFAF1E0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四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标准中涉及的专利</w:t>
      </w:r>
    </w:p>
    <w:p w14:paraId="3F1DDD2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无。</w:t>
      </w:r>
    </w:p>
    <w:p w14:paraId="77BA7656">
      <w:pPr>
        <w:numPr>
          <w:ilvl w:val="0"/>
          <w:numId w:val="6"/>
        </w:num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采用国际标准和国外先进标准的程度，以及与国际、国外同类标准水平的对比情况，或与测试的国外样品、样机的有关数据对比情况。</w:t>
      </w:r>
    </w:p>
    <w:p w14:paraId="404E27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Calibri" w:hAnsi="Calibri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前国外的葡萄种植大产区都是以地理位置划分的，例如法国的AOC、美国的AVA、澳大利亚的GI等。在大产区内，因小气候和土壤环境的不同，品种的适应性存在差异，所以在大产区内详细划分有特点的小产区，才能高效利用生态小环境，充分发挥酿酒葡萄品种的特性，酿造出具有产区特点的优质葡萄酒。例如美国已经划定了200多个AVA产区，对很小的区域都进行了详细的划分，特定的产区生产特定的酒。</w:t>
      </w:r>
    </w:p>
    <w:p w14:paraId="7E65F379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六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、与有关的现行法律、法规和强制性国家标准的关系</w:t>
      </w:r>
    </w:p>
    <w:p w14:paraId="283A606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本标准参考了国内相关资料，体现了科学性、先进性和可操作性原则，在制定过程中充分考虑国内相关的法规要求，并结合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水果葡萄酒产品风格</w:t>
      </w:r>
      <w:r>
        <w:rPr>
          <w:rFonts w:hint="eastAsia" w:ascii="宋体" w:hAnsi="宋体" w:eastAsia="宋体" w:cs="Times New Roman"/>
          <w:sz w:val="24"/>
          <w:szCs w:val="24"/>
        </w:rPr>
        <w:t>特点；</w:t>
      </w:r>
      <w:r>
        <w:rPr>
          <w:rFonts w:ascii="宋体" w:hAnsi="宋体" w:eastAsia="宋体" w:cs="Times New Roman"/>
          <w:sz w:val="24"/>
          <w:szCs w:val="24"/>
        </w:rPr>
        <w:t>与现行法律、法规和强制性国家标准协调一致。</w:t>
      </w:r>
    </w:p>
    <w:p w14:paraId="6290CAD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七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、重大分歧意见的处理经过和依据</w:t>
      </w:r>
    </w:p>
    <w:p w14:paraId="67C2BD9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无重大分歧意见。</w:t>
      </w:r>
    </w:p>
    <w:p w14:paraId="34F07D76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八、贯彻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团体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标准的要求和措施建议（包括组织措施、技术措施、过渡办法等内容）</w:t>
      </w:r>
    </w:p>
    <w:p w14:paraId="0909DA6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4" w:name="_Hlk86399637"/>
      <w:r>
        <w:rPr>
          <w:rFonts w:ascii="Times New Roman" w:hAnsi="Times New Roman" w:eastAsia="宋体" w:cs="Times New Roman"/>
          <w:sz w:val="24"/>
          <w:szCs w:val="24"/>
        </w:rPr>
        <w:t>建议本标准</w:t>
      </w:r>
      <w:r>
        <w:rPr>
          <w:rFonts w:hint="eastAsia" w:ascii="Times New Roman" w:hAnsi="Times New Roman" w:eastAsia="宋体" w:cs="Times New Roman"/>
          <w:sz w:val="24"/>
          <w:szCs w:val="24"/>
        </w:rPr>
        <w:t>审核、批准</w:t>
      </w:r>
      <w:r>
        <w:rPr>
          <w:rFonts w:ascii="Times New Roman" w:hAnsi="Times New Roman" w:eastAsia="宋体" w:cs="Times New Roman"/>
          <w:sz w:val="24"/>
          <w:szCs w:val="24"/>
        </w:rPr>
        <w:t>发布后实施，由归口单位组织行业相关单位积极开展宣贯工作</w:t>
      </w:r>
      <w:r>
        <w:rPr>
          <w:rFonts w:hint="eastAsia" w:ascii="Times New Roman" w:hAnsi="Times New Roman" w:eastAsia="宋体" w:cs="Times New Roman"/>
          <w:sz w:val="24"/>
          <w:szCs w:val="24"/>
        </w:rPr>
        <w:t>，在行业内进行推广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bookmarkEnd w:id="4"/>
    <w:p w14:paraId="5A0C86A5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九、废止现行相关标准的建议</w:t>
      </w:r>
    </w:p>
    <w:p w14:paraId="2D9650F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无。</w:t>
      </w:r>
    </w:p>
    <w:p w14:paraId="7AADED12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7D6CD2B5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78CBF8D0">
      <w:pPr>
        <w:ind w:left="0" w:leftChars="0" w:firstLine="0" w:firstLineChars="0"/>
        <w:rPr>
          <w:rFonts w:hint="default"/>
          <w:lang w:val="en-US" w:eastAsia="zh-CN"/>
        </w:rPr>
      </w:pPr>
      <w:bookmarkStart w:id="5" w:name="_GoBack"/>
      <w:bookmarkEnd w:id="5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0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864E9">
    <w:pPr>
      <w:spacing w:line="200" w:lineRule="exact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CB5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CB5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524C">
    <w:pPr>
      <w:spacing w:line="200" w:lineRule="exact"/>
      <w:rPr>
        <w:sz w:val="20"/>
        <w:szCs w:val="20"/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5668645</wp:posOffset>
              </wp:positionH>
              <wp:positionV relativeFrom="page">
                <wp:posOffset>660400</wp:posOffset>
              </wp:positionV>
              <wp:extent cx="1228090" cy="1670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0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B94338">
                          <w:pPr>
                            <w:pStyle w:val="2"/>
                            <w:spacing w:line="261" w:lineRule="exact"/>
                            <w:ind w:left="20"/>
                            <w:rPr>
                              <w:rFonts w:hint="eastAsia" w:ascii="黑体" w:hAnsi="黑体" w:eastAsia="黑体" w:cs="黑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6.35pt;margin-top:52pt;height:13.15pt;width:96.7pt;mso-position-horizontal-relative:page;mso-position-vertical-relative:page;z-index:-251657216;mso-width-relative:page;mso-height-relative:page;" filled="f" stroked="f" coordsize="21600,21600" o:gfxdata="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R4vt2QAAAAwBAAAPAAAAAAAA&#10;AAEAIAAAACIAAABkcnMvZG93bnJldi54bWxQSwECFAAUAAAACACHTuJAN2bNRBECAAATBAAADgAA&#10;AAAAAAABACAAAAAo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B94338">
                    <w:pPr>
                      <w:pStyle w:val="2"/>
                      <w:spacing w:line="261" w:lineRule="exact"/>
                      <w:ind w:left="20"/>
                      <w:rPr>
                        <w:rFonts w:hint="eastAsia" w:ascii="黑体" w:hAnsi="黑体" w:eastAsia="黑体" w:cs="黑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75B42"/>
    <w:multiLevelType w:val="singleLevel"/>
    <w:tmpl w:val="B2F75B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157675"/>
    <w:multiLevelType w:val="singleLevel"/>
    <w:tmpl w:val="B61576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21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>
    <w:nsid w:val="00000002"/>
    <w:multiLevelType w:val="multilevel"/>
    <w:tmpl w:val="00000002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48FA2A59"/>
    <w:multiLevelType w:val="singleLevel"/>
    <w:tmpl w:val="48FA2A5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02E3BA7"/>
    <w:multiLevelType w:val="singleLevel"/>
    <w:tmpl w:val="702E3BA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0869"/>
    <w:rsid w:val="020250A8"/>
    <w:rsid w:val="02385C9E"/>
    <w:rsid w:val="054B35C3"/>
    <w:rsid w:val="056016E1"/>
    <w:rsid w:val="05DE5D5D"/>
    <w:rsid w:val="06420522"/>
    <w:rsid w:val="06F16339"/>
    <w:rsid w:val="090441B5"/>
    <w:rsid w:val="09526CCE"/>
    <w:rsid w:val="09D26061"/>
    <w:rsid w:val="0ABC5E6F"/>
    <w:rsid w:val="0B226B74"/>
    <w:rsid w:val="0C3E79DE"/>
    <w:rsid w:val="0C421CC7"/>
    <w:rsid w:val="0E0A47C0"/>
    <w:rsid w:val="0F1B2274"/>
    <w:rsid w:val="119D0D03"/>
    <w:rsid w:val="11AA463D"/>
    <w:rsid w:val="11B27844"/>
    <w:rsid w:val="12DA6AC0"/>
    <w:rsid w:val="13723F7D"/>
    <w:rsid w:val="156F0C08"/>
    <w:rsid w:val="17F11DA8"/>
    <w:rsid w:val="1AE96058"/>
    <w:rsid w:val="1C512E16"/>
    <w:rsid w:val="1C6C2CF5"/>
    <w:rsid w:val="1C9B646B"/>
    <w:rsid w:val="1D1C78C7"/>
    <w:rsid w:val="1D370008"/>
    <w:rsid w:val="1E2F53D8"/>
    <w:rsid w:val="208B25D9"/>
    <w:rsid w:val="209D6F6A"/>
    <w:rsid w:val="217D07D0"/>
    <w:rsid w:val="23385D3D"/>
    <w:rsid w:val="24262DDA"/>
    <w:rsid w:val="25754019"/>
    <w:rsid w:val="25D96FD3"/>
    <w:rsid w:val="266126EB"/>
    <w:rsid w:val="26EF1BA9"/>
    <w:rsid w:val="2702368A"/>
    <w:rsid w:val="27D2250A"/>
    <w:rsid w:val="285223EF"/>
    <w:rsid w:val="2A5F7045"/>
    <w:rsid w:val="2BFD4C22"/>
    <w:rsid w:val="2CE70D59"/>
    <w:rsid w:val="2FB83480"/>
    <w:rsid w:val="31440D43"/>
    <w:rsid w:val="317C672F"/>
    <w:rsid w:val="33A06705"/>
    <w:rsid w:val="341346BC"/>
    <w:rsid w:val="35B5495F"/>
    <w:rsid w:val="372413FB"/>
    <w:rsid w:val="3877488E"/>
    <w:rsid w:val="39461E86"/>
    <w:rsid w:val="39777F17"/>
    <w:rsid w:val="39D87645"/>
    <w:rsid w:val="3CB82D3D"/>
    <w:rsid w:val="3D0C6BB9"/>
    <w:rsid w:val="3D504798"/>
    <w:rsid w:val="3D6764E5"/>
    <w:rsid w:val="3ED951C1"/>
    <w:rsid w:val="425C413F"/>
    <w:rsid w:val="43AF054B"/>
    <w:rsid w:val="46192347"/>
    <w:rsid w:val="46402205"/>
    <w:rsid w:val="47990211"/>
    <w:rsid w:val="4B45456D"/>
    <w:rsid w:val="4BBF7832"/>
    <w:rsid w:val="4F9C201E"/>
    <w:rsid w:val="4FF359B6"/>
    <w:rsid w:val="509B1A44"/>
    <w:rsid w:val="519228EA"/>
    <w:rsid w:val="51A451BA"/>
    <w:rsid w:val="52156097"/>
    <w:rsid w:val="52B136B7"/>
    <w:rsid w:val="536777EC"/>
    <w:rsid w:val="54A343F4"/>
    <w:rsid w:val="55A05923"/>
    <w:rsid w:val="56C90DDF"/>
    <w:rsid w:val="57BA277F"/>
    <w:rsid w:val="591359B0"/>
    <w:rsid w:val="59381B68"/>
    <w:rsid w:val="5B6431F1"/>
    <w:rsid w:val="5E2F7166"/>
    <w:rsid w:val="604858AA"/>
    <w:rsid w:val="608961F2"/>
    <w:rsid w:val="61CD42B9"/>
    <w:rsid w:val="63CE3548"/>
    <w:rsid w:val="655437C3"/>
    <w:rsid w:val="664C3447"/>
    <w:rsid w:val="665F3F88"/>
    <w:rsid w:val="676A0DF1"/>
    <w:rsid w:val="6AA36AD3"/>
    <w:rsid w:val="6B282F92"/>
    <w:rsid w:val="6B2D7B77"/>
    <w:rsid w:val="6B6B5792"/>
    <w:rsid w:val="6B712159"/>
    <w:rsid w:val="6CAB0EF6"/>
    <w:rsid w:val="6CAE4CE7"/>
    <w:rsid w:val="6CED1CB3"/>
    <w:rsid w:val="6E076DA5"/>
    <w:rsid w:val="6E8F1FB0"/>
    <w:rsid w:val="6EBA2CD3"/>
    <w:rsid w:val="6ED338CF"/>
    <w:rsid w:val="6F3C7E69"/>
    <w:rsid w:val="6F5E0C47"/>
    <w:rsid w:val="6F8B2DA0"/>
    <w:rsid w:val="732E4C52"/>
    <w:rsid w:val="74074F56"/>
    <w:rsid w:val="74567ED4"/>
    <w:rsid w:val="750A4112"/>
    <w:rsid w:val="781143F9"/>
    <w:rsid w:val="78264972"/>
    <w:rsid w:val="784A08E0"/>
    <w:rsid w:val="797B41A3"/>
    <w:rsid w:val="7A542CE8"/>
    <w:rsid w:val="7B286B9A"/>
    <w:rsid w:val="7B9F15A1"/>
    <w:rsid w:val="7C7A5A17"/>
    <w:rsid w:val="7CE54755"/>
    <w:rsid w:val="7D2707B0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 w:after="50" w:afterLines="50" w:line="360" w:lineRule="auto"/>
      <w:ind w:firstLine="56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38"/>
    </w:pPr>
    <w:rPr>
      <w:rFonts w:ascii="宋体" w:hAnsi="宋体" w:eastAsia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11">
    <w:name w:val="标准文件_文件名称"/>
    <w:basedOn w:val="12"/>
    <w:next w:val="1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">
    <w:name w:val="其他发布部门"/>
    <w:basedOn w:val="15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">
    <w:name w:val="发布部门"/>
    <w:next w:val="12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character" w:customStyle="1" w:styleId="16">
    <w:name w:val="发布"/>
    <w:basedOn w:val="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8">
    <w:name w:val="正文文本1"/>
    <w:basedOn w:val="1"/>
    <w:qFormat/>
    <w:uiPriority w:val="0"/>
    <w:pPr>
      <w:shd w:val="clear" w:color="auto" w:fill="FFFFFF"/>
      <w:spacing w:line="320" w:lineRule="exact"/>
      <w:ind w:hanging="420"/>
      <w:jc w:val="distribute"/>
    </w:pPr>
    <w:rPr>
      <w:rFonts w:ascii="MingLiU" w:hAnsi="MingLiU" w:eastAsia="MingLiU" w:cs="MingLiU"/>
      <w:spacing w:val="10"/>
      <w:sz w:val="19"/>
      <w:szCs w:val="19"/>
    </w:rPr>
  </w:style>
  <w:style w:type="paragraph" w:customStyle="1" w:styleId="19">
    <w:name w:val="一级条标题"/>
    <w:basedOn w:val="20"/>
    <w:next w:val="17"/>
    <w:qFormat/>
    <w:uiPriority w:val="0"/>
    <w:pPr>
      <w:numPr>
        <w:ilvl w:val="2"/>
        <w:numId w:val="0"/>
      </w:numPr>
      <w:tabs>
        <w:tab w:val="left" w:pos="360"/>
      </w:tabs>
      <w:outlineLvl w:val="2"/>
    </w:pPr>
  </w:style>
  <w:style w:type="paragraph" w:customStyle="1" w:styleId="20">
    <w:name w:val="章标题"/>
    <w:next w:val="17"/>
    <w:qFormat/>
    <w:uiPriority w:val="0"/>
    <w:pPr>
      <w:numPr>
        <w:ilvl w:val="1"/>
        <w:numId w:val="1"/>
      </w:num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条1"/>
    <w:basedOn w:val="1"/>
    <w:next w:val="1"/>
    <w:qFormat/>
    <w:uiPriority w:val="0"/>
    <w:pPr>
      <w:numPr>
        <w:ilvl w:val="1"/>
        <w:numId w:val="2"/>
      </w:numPr>
      <w:outlineLvl w:val="1"/>
    </w:pPr>
    <w:rPr>
      <w:rFonts w:ascii="黑体" w:eastAsia="黑体"/>
      <w:kern w:val="21"/>
      <w:szCs w:val="20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_Style 84"/>
    <w:basedOn w:val="1"/>
    <w:next w:val="5"/>
    <w:qFormat/>
    <w:uiPriority w:val="0"/>
    <w:rPr>
      <w:sz w:val="24"/>
    </w:rPr>
  </w:style>
  <w:style w:type="paragraph" w:customStyle="1" w:styleId="24">
    <w:name w:val="二级条标题"/>
    <w:basedOn w:val="19"/>
    <w:next w:val="17"/>
    <w:qFormat/>
    <w:uiPriority w:val="0"/>
    <w:pPr>
      <w:numPr>
        <w:ilvl w:val="3"/>
        <w:numId w:val="0"/>
      </w:num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5633</Words>
  <Characters>6391</Characters>
  <Lines>0</Lines>
  <Paragraphs>0</Paragraphs>
  <TotalTime>0</TotalTime>
  <ScaleCrop>false</ScaleCrop>
  <LinksUpToDate>false</LinksUpToDate>
  <CharactersWithSpaces>6622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2025-08-08T06:34:00Z</dcterms:created>
  <dc:creator>Administrator</dc:creator>
  <cp:lastModifiedBy>蒿凤-中酒协</cp:lastModifiedBy>
  <dcterms:modified xsi:type="dcterms:W3CDTF">2026-04-15T02:06:42Z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3D4AFF11ED3145D59818EA35FCF9CC4B_13</vt:lpwstr>
  </property>
  <property fmtid="{D5CDD505-2E9C-101B-9397-08002B2CF9AE}" pid="4" name="KSOTemplateDocerSaveRecord">
    <vt:lpwstr>eyJoZGlkIjoiZTcwMTk3ZGRiZDQxZjhkNWQwZGU3OGZjOWYyYzhlZTQiLCJ1c2VySWQiOiI0MTE3OTc1NTQifQ==</vt:lpwstr>
  </property>
</Properties>
</file>