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1D8D">
      <w:pPr>
        <w:pStyle w:val="9"/>
        <w:framePr w:wrap="around"/>
        <w:rPr>
          <w:rFonts w:eastAsia="宋体"/>
        </w:rPr>
      </w:pPr>
      <w:bookmarkStart w:id="0" w:name="_Toc405378319"/>
      <w:bookmarkStart w:id="1" w:name="_Toc404949484"/>
      <w:bookmarkStart w:id="2" w:name="_Toc404949453"/>
      <w:r>
        <w:rPr>
          <w:rFonts w:ascii="Times New Roman"/>
        </w:rPr>
        <w:t>ICS</w:t>
      </w:r>
      <w:r>
        <w:rPr>
          <w:rFonts w:hint="eastAsia" w:ascii="MS Gothic" w:hAnsi="MS Gothic" w:eastAsia="MS Gothic" w:cs="MS Gothic"/>
        </w:rPr>
        <w:t> </w:t>
      </w:r>
      <w:r>
        <w:rPr>
          <w:rFonts w:hint="eastAsia" w:eastAsia="宋体"/>
          <w:highlight w:val="yellow"/>
        </w:rPr>
        <w:t>00000000</w:t>
      </w:r>
    </w:p>
    <w:p w14:paraId="6D5F8662">
      <w:pPr>
        <w:pStyle w:val="9"/>
        <w:framePr w:wrap="around"/>
      </w:pPr>
      <w:r>
        <w:t xml:space="preserve">CCS </w:t>
      </w:r>
      <w:r>
        <w:rPr>
          <w:rFonts w:hint="eastAsia"/>
        </w:rPr>
        <w:t xml:space="preserve">X </w:t>
      </w:r>
      <w:r>
        <w:rPr>
          <w:rFonts w:hint="eastAsia"/>
          <w:highlight w:val="yellow"/>
        </w:rPr>
        <w:t>00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6CC9E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4B3477B">
            <w:pPr>
              <w:pStyle w:val="9"/>
              <w:framePr w:wrap="around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K4v7NUAAAAHAQAADwAAAAAAAAABACAAAAAi&#10;AAAAZHJzL2Rvd25yZXYueG1sUEsBAhQAFAAAAAgAh07iQMhJMdUNAgAAIAQAAA4AAAAAAAAAAQAg&#10;AAAAJA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3" w:name="BAH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Gothic" w:hAnsi="MS Gothic" w:eastAsia="MS Gothic" w:cs="MS Gothic"/>
              </w:rPr>
              <w:t>     </w:t>
            </w:r>
            <w:r>
              <w:fldChar w:fldCharType="end"/>
            </w:r>
            <w:bookmarkEnd w:id="3"/>
          </w:p>
        </w:tc>
      </w:tr>
    </w:tbl>
    <w:p w14:paraId="17A7E612">
      <w:pPr>
        <w:pStyle w:val="10"/>
        <w:framePr w:w="4707" w:wrap="around" w:hAnchor="page" w:x="6264"/>
      </w:pPr>
      <w:bookmarkStart w:id="4" w:name="c1"/>
      <w:bookmarkStart w:id="5" w:name="c2"/>
      <w:r>
        <w:rPr>
          <w:rFonts w:hint="eastAsia"/>
        </w:rPr>
        <w:t>T/CBJ</w:t>
      </w:r>
      <w:r>
        <w:t xml:space="preserve"> </w:t>
      </w:r>
      <w:r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</w:t>
      </w:r>
      <w:r>
        <w:fldChar w:fldCharType="end"/>
      </w:r>
      <w:bookmarkEnd w:id="4"/>
    </w:p>
    <w:p w14:paraId="1F320E18">
      <w:pPr>
        <w:pStyle w:val="11"/>
        <w:framePr w:wrap="around"/>
        <w:rPr>
          <w:rFonts w:hint="eastAsia"/>
        </w:rPr>
      </w:pPr>
      <w:r>
        <w:rPr>
          <w:b/>
        </w:rPr>
        <w:fldChar w:fldCharType="begin">
          <w:ffData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  <w:fldChar w:fldCharType="separate"/>
      </w:r>
      <w:r>
        <w:rPr>
          <w:rFonts w:hint="eastAsia" w:ascii="MS Gothic" w:hAnsi="MS Gothic" w:eastAsia="宋体" w:cs="MS Gothic"/>
          <w:b/>
        </w:rPr>
        <w:t>团体</w:t>
      </w:r>
      <w:r>
        <w:rPr>
          <w:b/>
        </w:rPr>
        <w:fldChar w:fldCharType="end"/>
      </w:r>
      <w:bookmarkEnd w:id="5"/>
      <w:r>
        <w:rPr>
          <w:rFonts w:hint="eastAsia"/>
        </w:rPr>
        <w:t>标准</w:t>
      </w:r>
    </w:p>
    <w:p w14:paraId="5E53621E">
      <w:pPr>
        <w:pStyle w:val="12"/>
        <w:framePr w:wrap="around"/>
      </w:pPr>
      <w:r>
        <w:rPr>
          <w:rFonts w:hint="eastAsia" w:ascii="Times New Roman"/>
        </w:rPr>
        <w:t>T/CBJ</w:t>
      </w:r>
      <w:r>
        <w:rPr>
          <w:rFonts w:ascii="Times New Roman"/>
        </w:rPr>
        <w:t xml:space="preserve"> </w:t>
      </w:r>
      <w:bookmarkStart w:id="6" w:name="StdNo1"/>
      <w:r>
        <w:fldChar w:fldCharType="begin">
          <w:ffData>
            <w:name w:val="StdNo1"/>
            <w:enabled/>
            <w:calcOnExit w:val="0"/>
            <w:textInput>
              <w:default w:val="0000"/>
            </w:textInput>
          </w:ffData>
        </w:fldChar>
      </w:r>
      <w:r>
        <w:instrText xml:space="preserve">FORMTEXT</w:instrText>
      </w:r>
      <w:r>
        <w:fldChar w:fldCharType="separate"/>
      </w:r>
      <w:r>
        <w:t>0000</w:t>
      </w:r>
      <w:r>
        <w:fldChar w:fldCharType="end"/>
      </w:r>
      <w:bookmarkEnd w:id="6"/>
      <w:r>
        <w:t>—20</w:t>
      </w:r>
      <w:r>
        <w:rPr>
          <w:rFonts w:hint="eastAsia"/>
        </w:rPr>
        <w:t>XX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43D32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FE809F7">
            <w:pPr>
              <w:pStyle w:val="13"/>
              <w:framePr w:wrap="around"/>
            </w:pPr>
            <w:bookmarkStart w:id="7" w:name="DT"/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MS Gothic" w:hAnsi="MS Gothic" w:eastAsia="MS Gothic" w:cs="MS Gothic"/>
              </w:rPr>
              <w:t>     </w:t>
            </w:r>
            <w:r>
              <w:fldChar w:fldCharType="end"/>
            </w:r>
            <w:bookmarkEnd w:id="7"/>
          </w:p>
        </w:tc>
      </w:tr>
    </w:tbl>
    <w:p w14:paraId="166EE660">
      <w:pPr>
        <w:pStyle w:val="12"/>
        <w:framePr w:wrap="around"/>
      </w:pPr>
    </w:p>
    <w:p w14:paraId="3788C026">
      <w:pPr>
        <w:pStyle w:val="12"/>
        <w:framePr w:wrap="around"/>
      </w:pPr>
    </w:p>
    <w:p w14:paraId="14405264">
      <w:pPr>
        <w:pStyle w:val="14"/>
        <w:framePr w:wrap="around"/>
      </w:pPr>
      <w:r>
        <w:rPr>
          <w:rFonts w:hint="eastAsia"/>
        </w:rPr>
        <w:t>基于霞多丽和马瑟兰品种的胶东半岛部分葡萄园区划标准</w:t>
      </w:r>
    </w:p>
    <w:p w14:paraId="02A57EFA">
      <w:pPr>
        <w:pStyle w:val="15"/>
        <w:framePr w:wrap="around"/>
        <w:rPr>
          <w:rFonts w:hint="default" w:ascii="Times New Roman Bold" w:hAnsi="Times New Roman Bold" w:eastAsia="黑体" w:cs="Times New Roman Bold"/>
          <w:b/>
          <w:bCs/>
          <w:highlight w:val="yellow"/>
        </w:rPr>
      </w:pPr>
      <w:bookmarkStart w:id="8" w:name="_Hlk97294906"/>
      <w:r>
        <w:rPr>
          <w:rFonts w:hint="default" w:ascii="Times New Roman Bold" w:hAnsi="Times New Roman Bold" w:eastAsia="黑体" w:cs="Times New Roman Bold"/>
          <w:b/>
          <w:bCs/>
        </w:rPr>
        <w:t>Regionaalization standards for some vineyards in the Jiaodong Peninsula based on two varieties, Chardonnay and Marselan</w:t>
      </w:r>
      <w:bookmarkEnd w:id="8"/>
    </w:p>
    <w:p w14:paraId="2204FC96">
      <w:pPr>
        <w:pStyle w:val="16"/>
        <w:framePr w:wrap="around"/>
      </w:pPr>
      <w:bookmarkStart w:id="9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9"/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1AED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45AD013">
            <w:pPr>
              <w:pStyle w:val="17"/>
              <w:framePr w:wrap="around"/>
            </w:pPr>
            <w:r>
              <w:rPr>
                <w:highlight w:val="none"/>
                <w:shd w:val="clear" w:fill="000000" w:themeFill="text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508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5168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/X9+DXAAAACwEAAA8AAAAAAAAAAQAgAAAAIgAA&#10;AGRycy9kb3ducmV2LnhtbFBLAQIUABQAAAAIAIdO4kBLEu/tCQIAACAEAAAOAAAAAAAAAAEAIAAA&#10;ACYBAABkcnMvZTJvRG9jLnhtbFBLBQYAAAAABgAGAFkBAACh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highlight w:val="none"/>
                <w:shd w:val="clear" w:fill="000000" w:themeFill="text1"/>
              </w:rPr>
              <w:t>(</w:t>
            </w:r>
            <w:r>
              <w:rPr>
                <w:rFonts w:hint="eastAsia"/>
                <w:highlight w:val="none"/>
                <w:shd w:val="clear" w:fill="000000" w:themeFill="text1"/>
                <w:lang w:val="en-US" w:eastAsia="zh-CN"/>
              </w:rPr>
              <w:t>征集意见稿</w:t>
            </w:r>
            <w:r>
              <w:rPr>
                <w:rFonts w:hint="eastAsia"/>
                <w:highlight w:val="none"/>
                <w:shd w:val="clear" w:fill="000000" w:themeFill="text1"/>
              </w:rPr>
              <w:t>)</w:t>
            </w:r>
          </w:p>
        </w:tc>
      </w:tr>
      <w:tr w14:paraId="30060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1AFB26A3">
            <w:pPr>
              <w:pStyle w:val="18"/>
              <w:framePr w:wrap="around"/>
            </w:pPr>
          </w:p>
        </w:tc>
      </w:tr>
    </w:tbl>
    <w:p w14:paraId="72154644">
      <w:pPr>
        <w:pStyle w:val="19"/>
        <w:framePr w:wrap="around" w:hAnchor="page" w:y="14140"/>
      </w:pPr>
      <w:r>
        <w:rPr>
          <w:rFonts w:ascii="黑体"/>
        </w:rPr>
        <w:t>20</w:t>
      </w:r>
      <w:r>
        <w:rPr>
          <w:rFonts w:hint="eastAsia"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rPr>
          <w:rFonts w:hint="eastAsia" w:ascii="黑体"/>
        </w:rPr>
        <w:t xml:space="preserve"> 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9275445</wp:posOffset>
                </wp:positionV>
                <wp:extent cx="6120130" cy="0"/>
                <wp:effectExtent l="0" t="4445" r="0" b="5080"/>
                <wp:wrapNone/>
                <wp:docPr id="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730.35pt;height:0pt;width:481.9pt;mso-position-vertical-relative:page;z-index:251663360;mso-width-relative:page;mso-height-relative:page;" filled="f" stroked="t" coordsize="21600,21600" o:gfxdata="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8O0251QAAAAoBAAAPAAAAAAAAAAEAIAAA&#10;ACIAAABkcnMvZG93bnJldi54bWxQSwECFAAUAAAACACHTuJA9sbDKdYBAACi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35359F48">
      <w:pPr>
        <w:pStyle w:val="21"/>
        <w:framePr w:wrap="around" w:hAnchor="page" w:y="14140"/>
      </w:pPr>
      <w:r>
        <w:rPr>
          <w:rFonts w:ascii="黑体"/>
        </w:rPr>
        <w:t>20</w:t>
      </w:r>
      <w:r>
        <w:rPr>
          <w:rFonts w:hint="eastAsia" w:ascii="黑体"/>
        </w:rPr>
        <w:t xml:space="preserve">XX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XX</w:t>
      </w:r>
      <w:r>
        <w:t xml:space="preserve"> </w:t>
      </w:r>
      <w:r>
        <w:rPr>
          <w:rFonts w:hint="eastAsia"/>
        </w:rPr>
        <w:t>实施</w:t>
      </w:r>
    </w:p>
    <w:p w14:paraId="652C5B4E">
      <w:pPr>
        <w:pStyle w:val="23"/>
        <w:framePr w:wrap="around"/>
      </w:pPr>
      <w:bookmarkStart w:id="10" w:name="fm"/>
      <w:r>
        <w:rPr>
          <w:w w:val="1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10160" b="0"/>
                <wp:wrapNone/>
                <wp:docPr id="3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6192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bXu1tkAAAANAQAADwAAAAAAAAABACAAAAAi&#10;AAAAZHJzL2Rvd25yZXYueG1sUEsBAhQAFAAAAAgAh07iQBxxlwgJAgAAIAQAAA4AAAAAAAAAAQAg&#10;AAAAKAEAAGRycy9lMm9Eb2MueG1sUEsFBgAAAAAGAAYAWQEAAKM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1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7216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/JihHaAAAADwEAAA8AAAAAAAAAAQAgAAAA&#10;IgAAAGRycy9kb3ducmV2LnhtbFBLAQIUABQAAAAIAIdO4kA0j74GCQIAACAEAAAOAAAAAAAAAAEA&#10;IAAAACkBAABkcnMvZTJvRG9jLnhtbFBLBQYAAAAABgAGAFkBAAC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4445" r="0" b="5080"/>
                <wp:wrapNone/>
                <wp:docPr id="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-36.6pt;margin-top:-552.85pt;height:0pt;width:481.9pt;z-index:251664384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JZGg2AAAAA8BAAAPAAAAAAAAAAEA&#10;IAAAACIAAABkcnMvZG93bnJldi54bWxQSwECFAAUAAAACACHTuJA5huZFdYBAACi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0"/>
      <w:r>
        <w:rPr>
          <w:rFonts w:hint="eastAsia"/>
        </w:rPr>
        <w:t>中国酒业协会</w:t>
      </w:r>
      <w:r>
        <w:t>   </w:t>
      </w:r>
      <w:r>
        <w:rPr>
          <w:rStyle w:val="26"/>
          <w:rFonts w:hint="eastAsia"/>
        </w:rPr>
        <w:t>发布</w:t>
      </w:r>
    </w:p>
    <w:p w14:paraId="7A45C1AA">
      <w:pPr>
        <w:pStyle w:val="25"/>
        <w:sectPr>
          <w:headerReference r:id="rId3" w:type="default"/>
          <w:footerReference r:id="rId4" w:type="default"/>
          <w:pgSz w:w="11906" w:h="16838"/>
          <w:pgMar w:top="567" w:right="850" w:bottom="1134" w:left="1418" w:header="0" w:footer="0" w:gutter="0"/>
          <w:pgNumType w:fmt="upperRoman" w:start="1"/>
          <w:cols w:space="720" w:num="1"/>
          <w:docGrid w:type="lines" w:linePitch="312" w:charSpace="0"/>
        </w:sectPr>
      </w:pPr>
    </w:p>
    <w:p w14:paraId="2E142726">
      <w:pPr>
        <w:pStyle w:val="27"/>
        <w:rPr>
          <w:rFonts w:ascii="Times New Roman"/>
        </w:rPr>
      </w:pPr>
      <w:bookmarkStart w:id="11" w:name="_Toc305346189"/>
      <w:r>
        <w:rPr>
          <w:rFonts w:hint="eastAsia" w:ascii="Times New Roman"/>
        </w:rPr>
        <w:t>目</w:t>
      </w:r>
      <w:r>
        <w:rPr>
          <w:rFonts w:ascii="Times New Roman"/>
        </w:rPr>
        <w:t>  </w:t>
      </w:r>
      <w:r>
        <w:rPr>
          <w:rFonts w:hint="eastAsia" w:ascii="Times New Roman"/>
        </w:rPr>
        <w:t>录</w:t>
      </w:r>
      <w:bookmarkEnd w:id="11"/>
    </w:p>
    <w:sdt>
      <w:sdtPr>
        <w:rPr>
          <w:rFonts w:ascii="宋体" w:hAnsi="宋体"/>
        </w:rPr>
        <w:id w:val="105894852"/>
        <w15:color w:val="DBDBDB"/>
        <w:docPartObj>
          <w:docPartGallery w:val="Table of Contents"/>
          <w:docPartUnique/>
        </w:docPartObj>
      </w:sdtPr>
      <w:sdtEndPr>
        <w:rPr>
          <w:rFonts w:ascii="宋体" w:hAnsi="Times New Roman"/>
        </w:rPr>
      </w:sdtEndPr>
      <w:sdtContent>
        <w:p w14:paraId="562E9706">
          <w:pPr>
            <w:jc w:val="center"/>
          </w:pPr>
        </w:p>
        <w:p w14:paraId="5464A030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"_Toc1614965840" </w:instrText>
          </w:r>
          <w:r>
            <w:fldChar w:fldCharType="separate"/>
          </w:r>
          <w:r>
            <w:rPr>
              <w:rFonts w:hint="eastAsia"/>
            </w:rPr>
            <w:t>前</w:t>
          </w:r>
          <w:r>
            <w:t>  </w:t>
          </w:r>
          <w:r>
            <w:rPr>
              <w:rFonts w:hint="eastAsia"/>
            </w:rPr>
            <w:t>言</w:t>
          </w:r>
          <w:r>
            <w:tab/>
          </w:r>
          <w:r>
            <w:fldChar w:fldCharType="begin"/>
          </w:r>
          <w:r>
            <w:instrText xml:space="preserve"> PAGEREF _Toc1614965840 \h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 w14:paraId="33623791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"_Toc1117487162"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1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_Toc1117487162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9FA7F41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"_Toc1862238719"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2 </w:t>
          </w:r>
          <w:r>
            <w:rPr>
              <w:rFonts w:hint="eastAsia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_Toc1862238719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9F0C8AF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"_Toc1219478855"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 xml:space="preserve">3 </w:t>
          </w:r>
          <w:r>
            <w:rPr>
              <w:rFonts w:hint="eastAsia"/>
            </w:rPr>
            <w:t>术语和定义</w:t>
          </w:r>
          <w:r>
            <w:tab/>
          </w:r>
          <w:r>
            <w:fldChar w:fldCharType="begin"/>
          </w:r>
          <w:r>
            <w:instrText xml:space="preserve"> PAGEREF _Toc1219478855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254FED3E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"_Toc197189017" </w:instrText>
          </w:r>
          <w:r>
            <w:fldChar w:fldCharType="separate"/>
          </w:r>
          <w:r>
            <w:rPr>
              <w:rFonts w:hint="eastAsia" w:cs="宋体"/>
              <w:szCs w:val="21"/>
            </w:rPr>
            <w:t>4. 土壤分析及土壤砂粒含量的确定</w:t>
          </w:r>
          <w:r>
            <w:tab/>
          </w:r>
          <w:r>
            <w:fldChar w:fldCharType="begin"/>
          </w:r>
          <w:r>
            <w:instrText xml:space="preserve"> PAGEREF _Toc197189017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64D2D2F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"_Toc588541398" </w:instrText>
          </w:r>
          <w:r>
            <w:fldChar w:fldCharType="separate"/>
          </w:r>
          <w:r>
            <w:rPr>
              <w:rFonts w:hint="eastAsia" w:cs="宋体"/>
              <w:szCs w:val="21"/>
            </w:rPr>
            <w:t>5. 基于土壤砂粒含量的一级区划</w:t>
          </w:r>
          <w:r>
            <w:tab/>
          </w:r>
          <w:r>
            <w:fldChar w:fldCharType="begin"/>
          </w:r>
          <w:r>
            <w:instrText xml:space="preserve"> PAGEREF _Toc588541398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9CB0664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"_Toc305598104" </w:instrText>
          </w:r>
          <w:r>
            <w:fldChar w:fldCharType="separate"/>
          </w:r>
          <w:r>
            <w:rPr>
              <w:rFonts w:hint="eastAsia" w:cs="宋体"/>
              <w:szCs w:val="21"/>
            </w:rPr>
            <w:t>6. 小区域环境指标的获取</w:t>
          </w:r>
          <w:r>
            <w:tab/>
          </w:r>
          <w:r>
            <w:fldChar w:fldCharType="begin"/>
          </w:r>
          <w:r>
            <w:instrText xml:space="preserve"> PAGEREF _Toc305598104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5CC10B82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"_Toc1553933951" </w:instrText>
          </w:r>
          <w:r>
            <w:fldChar w:fldCharType="separate"/>
          </w:r>
          <w:r>
            <w:rPr>
              <w:rFonts w:hint="eastAsia" w:cs="宋体"/>
              <w:szCs w:val="21"/>
            </w:rPr>
            <w:t>7. 基于温度指数TRR和CN的二级区划</w:t>
          </w:r>
          <w:r>
            <w:tab/>
          </w:r>
          <w:r>
            <w:fldChar w:fldCharType="begin"/>
          </w:r>
          <w:r>
            <w:instrText xml:space="preserve"> PAGEREF _Toc1553933951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4E36A9E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"_Toc1419283290" </w:instrText>
          </w:r>
          <w:r>
            <w:fldChar w:fldCharType="separate"/>
          </w:r>
          <w:r>
            <w:rPr>
              <w:rFonts w:hint="eastAsia" w:cs="宋体"/>
              <w:szCs w:val="21"/>
            </w:rPr>
            <w:t>8. 基于土壤矿质营养的三级区划方案的建立</w:t>
          </w:r>
          <w:r>
            <w:tab/>
          </w:r>
          <w:r>
            <w:fldChar w:fldCharType="begin"/>
          </w:r>
          <w:r>
            <w:instrText xml:space="preserve"> PAGEREF _Toc1419283290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37E1AEB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"_Toc1793387801" </w:instrText>
          </w:r>
          <w:r>
            <w:fldChar w:fldCharType="separate"/>
          </w:r>
          <w:r>
            <w:rPr>
              <w:rFonts w:hint="eastAsia" w:cs="宋体"/>
              <w:szCs w:val="21"/>
            </w:rPr>
            <w:t>9. 优质特色小产区区划方案的建立及阶段性验证</w:t>
          </w:r>
          <w:r>
            <w:tab/>
          </w:r>
          <w:r>
            <w:fldChar w:fldCharType="begin"/>
          </w:r>
          <w:r>
            <w:instrText xml:space="preserve"> PAGEREF _Toc1793387801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7DB9C63">
          <w:pPr>
            <w:pStyle w:val="28"/>
            <w:tabs>
              <w:tab w:val="right" w:leader="dot" w:pos="9354"/>
            </w:tabs>
            <w:spacing w:line="480" w:lineRule="auto"/>
          </w:pPr>
          <w:r>
            <w:fldChar w:fldCharType="begin"/>
          </w:r>
          <w:r>
            <w:instrText xml:space="preserve"> HYPERLINK \l "_Toc1535785762" </w:instrText>
          </w:r>
          <w:r>
            <w:fldChar w:fldCharType="separate"/>
          </w:r>
          <w:r>
            <w:rPr>
              <w:rFonts w:hint="eastAsia" w:cs="宋体"/>
              <w:szCs w:val="21"/>
            </w:rPr>
            <w:t>10. 基于区划方案的分区采收酿造和差别化管理方案制定</w:t>
          </w:r>
          <w:r>
            <w:tab/>
          </w:r>
          <w:r>
            <w:fldChar w:fldCharType="begin"/>
          </w:r>
          <w:r>
            <w:instrText xml:space="preserve"> PAGEREF _Toc1535785762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F0B54D6">
          <w:pPr>
            <w:pStyle w:val="25"/>
            <w:spacing w:line="480" w:lineRule="auto"/>
          </w:pPr>
          <w:r>
            <w:fldChar w:fldCharType="end"/>
          </w:r>
        </w:p>
      </w:sdtContent>
    </w:sdt>
    <w:p w14:paraId="60C26B89">
      <w:pPr>
        <w:pStyle w:val="27"/>
        <w:rPr>
          <w:rFonts w:ascii="Times New Roman"/>
        </w:rPr>
      </w:pPr>
      <w:bookmarkStart w:id="12" w:name="_Toc1614965840"/>
      <w:r>
        <w:rPr>
          <w:rFonts w:hint="eastAsia" w:ascii="Times New Roman"/>
        </w:rPr>
        <w:t>前</w:t>
      </w:r>
      <w:bookmarkStart w:id="13" w:name="BKQY"/>
      <w:r>
        <w:rPr>
          <w:rFonts w:ascii="Times New Roman"/>
        </w:rPr>
        <w:t>  </w:t>
      </w:r>
      <w:r>
        <w:rPr>
          <w:rFonts w:hint="eastAsia" w:ascii="Times New Roman"/>
        </w:rPr>
        <w:t>言</w:t>
      </w:r>
      <w:bookmarkEnd w:id="0"/>
      <w:bookmarkEnd w:id="1"/>
      <w:bookmarkEnd w:id="2"/>
      <w:bookmarkEnd w:id="12"/>
      <w:bookmarkEnd w:id="13"/>
    </w:p>
    <w:p w14:paraId="1DA43FC9">
      <w:pPr>
        <w:pStyle w:val="25"/>
      </w:pPr>
      <w:r>
        <w:rPr>
          <w:rFonts w:hint="eastAsia"/>
        </w:rPr>
        <w:t>本文件按照GB/T 1.1-2020《标准化工作导则  第1部分：标准化文件的结构和起草规则》的规定起草。</w:t>
      </w:r>
    </w:p>
    <w:p w14:paraId="412FD3C4">
      <w:pPr>
        <w:pStyle w:val="25"/>
      </w:pPr>
      <w:r>
        <w:rPr>
          <w:rFonts w:hint="eastAsia"/>
        </w:rPr>
        <w:t>本文件的某些内容可能涉及专利，本文件的发布机构不承担识别这些专利的责任。</w:t>
      </w:r>
    </w:p>
    <w:p w14:paraId="62DBE68F">
      <w:pPr>
        <w:pStyle w:val="25"/>
      </w:pPr>
      <w:r>
        <w:rPr>
          <w:rFonts w:hint="eastAsia"/>
        </w:rPr>
        <w:t>本文件由中国酒业协会提出。</w:t>
      </w:r>
    </w:p>
    <w:p w14:paraId="2928EC6B">
      <w:pPr>
        <w:pStyle w:val="25"/>
      </w:pPr>
      <w:r>
        <w:rPr>
          <w:rFonts w:hint="eastAsia"/>
        </w:rPr>
        <w:t>本文件由中国酒业协会团体标准审查委员会归口。</w:t>
      </w:r>
    </w:p>
    <w:p w14:paraId="22029100">
      <w:pPr>
        <w:pStyle w:val="25"/>
      </w:pPr>
      <w:r>
        <w:rPr>
          <w:rFonts w:hint="eastAsia"/>
        </w:rPr>
        <w:t>本文件起草单位：山东省葡萄研究院、中粮长城葡萄酒（蓬莱）有限公司、山东省烟台市农业科学研究院、西北农林科技大学</w:t>
      </w:r>
    </w:p>
    <w:p w14:paraId="57817574">
      <w:pPr>
        <w:pStyle w:val="25"/>
      </w:pPr>
      <w:r>
        <w:rPr>
          <w:rFonts w:hint="eastAsia"/>
        </w:rPr>
        <w:t>本文件主要起草人：杨阳，管雪强，荆晓姝，王俊芳，李进，唐美玲，张克坤，苏玲，杨东岳，周鹏辉，刘炳利，郑秋玲，房玉林</w:t>
      </w:r>
    </w:p>
    <w:p w14:paraId="1C83D5C9">
      <w:pPr>
        <w:pStyle w:val="25"/>
      </w:pPr>
    </w:p>
    <w:p w14:paraId="51F943A3">
      <w:pPr>
        <w:pStyle w:val="25"/>
        <w:ind w:firstLine="0" w:firstLineChars="0"/>
        <w:rPr>
          <w:rFonts w:ascii="Times New Roman"/>
        </w:rPr>
        <w:sectPr>
          <w:headerReference r:id="rId5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 w14:paraId="771926C1">
      <w:pPr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14" w:name="_Toc685058447"/>
      <w:bookmarkStart w:id="15" w:name="_Toc404949454"/>
      <w:bookmarkStart w:id="16" w:name="_Toc405378320"/>
      <w:bookmarkStart w:id="17" w:name="_Toc404949485"/>
      <w:r>
        <w:rPr>
          <w:rFonts w:hint="eastAsia" w:ascii="黑体" w:hAnsi="黑体" w:eastAsia="黑体" w:cs="黑体"/>
          <w:b/>
          <w:bCs/>
          <w:sz w:val="32"/>
          <w:szCs w:val="32"/>
        </w:rPr>
        <w:t>基于霞多丽和马瑟兰品种的胶东半岛部分葡萄园区划标准</w:t>
      </w:r>
      <w:bookmarkEnd w:id="14"/>
    </w:p>
    <w:p w14:paraId="1AF0B79F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18" w:name="_Toc1117487162"/>
      <w:r>
        <w:rPr>
          <w:rFonts w:hint="eastAsia" w:ascii="Times New Roman"/>
        </w:rPr>
        <w:t>范围</w:t>
      </w:r>
      <w:bookmarkEnd w:id="15"/>
      <w:bookmarkEnd w:id="16"/>
      <w:bookmarkEnd w:id="17"/>
      <w:bookmarkEnd w:id="18"/>
    </w:p>
    <w:p w14:paraId="1FC10BD5">
      <w:pPr>
        <w:pStyle w:val="25"/>
        <w:rPr>
          <w:rFonts w:ascii="Times New Roman"/>
        </w:rPr>
      </w:pPr>
      <w:r>
        <w:rPr>
          <w:rFonts w:hint="eastAsia" w:ascii="Times New Roman"/>
        </w:rPr>
        <w:t>本文件规定了胶东半岛酿酒葡萄产区区划方法及区划的操作规程。</w:t>
      </w:r>
    </w:p>
    <w:p w14:paraId="4BEF9F47">
      <w:pPr>
        <w:pStyle w:val="25"/>
        <w:rPr>
          <w:rFonts w:ascii="Times New Roman"/>
        </w:rPr>
      </w:pPr>
      <w:r>
        <w:rPr>
          <w:rFonts w:hint="eastAsia" w:ascii="Times New Roman"/>
        </w:rPr>
        <w:t>本文件适用于胶东半岛产区霞多丽葡萄和马瑟兰葡萄的区划。</w:t>
      </w:r>
    </w:p>
    <w:p w14:paraId="42BE49C6">
      <w:pPr>
        <w:pStyle w:val="25"/>
        <w:rPr>
          <w:rFonts w:ascii="Times New Roman"/>
          <w:highlight w:val="yellow"/>
        </w:rPr>
      </w:pPr>
    </w:p>
    <w:p w14:paraId="192108C0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19" w:name="_Toc404949486"/>
      <w:bookmarkStart w:id="20" w:name="_Toc1862238719"/>
      <w:bookmarkStart w:id="21" w:name="_Toc405378321"/>
      <w:bookmarkStart w:id="22" w:name="_Toc404949455"/>
      <w:r>
        <w:rPr>
          <w:rFonts w:hint="eastAsia" w:ascii="Times New Roman"/>
        </w:rPr>
        <w:t>规范性引用文件</w:t>
      </w:r>
      <w:bookmarkEnd w:id="19"/>
      <w:bookmarkEnd w:id="20"/>
      <w:bookmarkEnd w:id="21"/>
      <w:bookmarkEnd w:id="22"/>
    </w:p>
    <w:p w14:paraId="23595CBB">
      <w:pPr>
        <w:pStyle w:val="25"/>
        <w:rPr>
          <w:rFonts w:ascii="Times New Roman"/>
        </w:rPr>
      </w:pPr>
      <w:r>
        <w:rPr>
          <w:rFonts w:hint="eastAsia" w:ascii="Times New Roman"/>
        </w:rPr>
        <w:t>GB/T 42363-2023土壤理化分析样品的预处理 </w:t>
      </w:r>
    </w:p>
    <w:p w14:paraId="36474781">
      <w:pPr>
        <w:pStyle w:val="25"/>
        <w:rPr>
          <w:rFonts w:ascii="Times New Roman"/>
        </w:rPr>
      </w:pPr>
      <w:r>
        <w:rPr>
          <w:rFonts w:hint="eastAsia" w:ascii="Times New Roman"/>
        </w:rPr>
        <w:t>GB/T 36197-2018土壤采样技术指南 </w:t>
      </w:r>
    </w:p>
    <w:p w14:paraId="678EE3F9">
      <w:pPr>
        <w:pStyle w:val="25"/>
        <w:rPr>
          <w:rFonts w:ascii="Times New Roman"/>
        </w:rPr>
      </w:pPr>
      <w:r>
        <w:rPr>
          <w:rFonts w:hint="eastAsia" w:ascii="Times New Roman"/>
        </w:rPr>
        <w:t>NY/T 1121.3-2006土壤机械组成的测定</w:t>
      </w:r>
    </w:p>
    <w:p w14:paraId="6FCCA590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23" w:name="_Toc12484"/>
      <w:bookmarkStart w:id="24" w:name="_Toc1219478855"/>
      <w:r>
        <w:rPr>
          <w:rFonts w:hint="eastAsia" w:ascii="Times New Roman"/>
        </w:rPr>
        <w:t>术语和定义</w:t>
      </w:r>
      <w:bookmarkEnd w:id="23"/>
      <w:bookmarkEnd w:id="24"/>
    </w:p>
    <w:p w14:paraId="18F88AEA">
      <w:pPr>
        <w:pStyle w:val="25"/>
      </w:pPr>
      <w:r>
        <w:rPr>
          <w:rFonts w:hint="eastAsia" w:ascii="Times New Roman"/>
        </w:rPr>
        <w:t>下列术语和定义适用于本文件。</w:t>
      </w:r>
    </w:p>
    <w:p w14:paraId="11F5E164">
      <w:pPr>
        <w:widowControl/>
        <w:spacing w:line="360" w:lineRule="auto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3.1</w:t>
      </w:r>
    </w:p>
    <w:p w14:paraId="20D47D84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土壤机械组成（Soil Mechanical Composition）</w:t>
      </w:r>
    </w:p>
    <w:p w14:paraId="12DFEFAC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土壤中不同粒径的矿物质颗粒（如粗砂粒、细砂粒、粉砂粒、黏粒）的比例和分布情况，是土壤比较稳定的自然属性和物理指标。</w:t>
      </w:r>
    </w:p>
    <w:p w14:paraId="33FA4E3C">
      <w:pPr>
        <w:widowControl/>
        <w:spacing w:line="360" w:lineRule="auto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3.2</w:t>
      </w:r>
    </w:p>
    <w:p w14:paraId="249828D8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土壤质地（Soil Texture Types）</w:t>
      </w:r>
    </w:p>
    <w:p w14:paraId="7C63A029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根据土壤的机械组成划分的土壤类型。</w:t>
      </w:r>
    </w:p>
    <w:p w14:paraId="15043FDB">
      <w:pPr>
        <w:widowControl/>
        <w:spacing w:line="360" w:lineRule="auto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3.3</w:t>
      </w:r>
    </w:p>
    <w:p w14:paraId="5F126AE1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土壤砂粒（Sand）含量</w:t>
      </w:r>
    </w:p>
    <w:p w14:paraId="609B2E06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在土壤机械组成分析中2≥D&gt;0.02mm土壤颗粒的百分数含量。</w:t>
      </w:r>
    </w:p>
    <w:p w14:paraId="3C4198C9">
      <w:pPr>
        <w:spacing w:line="36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>3.4</w:t>
      </w:r>
    </w:p>
    <w:p w14:paraId="3B8F337B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成熟期温度变幅指数（Temperature Range during Vine Ripening index，缩写TRR）</w:t>
      </w:r>
    </w:p>
    <w:p w14:paraId="7FB6D510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葡萄浆果成熟期的温度范围，9月份成熟的酿酒葡萄（霞多丽）TRR计算公式为：</w:t>
      </w:r>
    </w:p>
    <w:p w14:paraId="2418CFC9">
      <w:pPr>
        <w:widowControl/>
        <w:spacing w:line="360" w:lineRule="auto"/>
        <w:jc w:val="center"/>
        <w:rPr>
          <w:rFonts w:cs="宋体"/>
          <w:szCs w:val="21"/>
        </w:rPr>
      </w:pPr>
      <w:r>
        <w:rPr>
          <w:rFonts w:hint="eastAsia" w:cs="宋体"/>
          <w:szCs w:val="21"/>
        </w:rPr>
        <w:t>TRR=T</w:t>
      </w:r>
      <w:r>
        <w:rPr>
          <w:rFonts w:hint="eastAsia" w:cs="宋体"/>
          <w:szCs w:val="21"/>
          <w:vertAlign w:val="subscript"/>
        </w:rPr>
        <w:t xml:space="preserve">xSeptembe </w:t>
      </w:r>
      <w:r>
        <w:rPr>
          <w:rFonts w:hint="eastAsia" w:cs="宋体"/>
          <w:szCs w:val="21"/>
        </w:rPr>
        <w:t>-</w:t>
      </w:r>
      <w:bookmarkStart w:id="25" w:name="OLE_LINK4"/>
      <w:r>
        <w:rPr>
          <w:rFonts w:hint="eastAsia" w:cs="宋体"/>
          <w:szCs w:val="21"/>
        </w:rPr>
        <w:t>T</w:t>
      </w:r>
      <w:r>
        <w:rPr>
          <w:rFonts w:hint="eastAsia" w:cs="宋体"/>
          <w:szCs w:val="21"/>
          <w:vertAlign w:val="subscript"/>
        </w:rPr>
        <w:t>n</w:t>
      </w:r>
      <w:bookmarkEnd w:id="25"/>
      <w:r>
        <w:rPr>
          <w:rFonts w:hint="eastAsia" w:cs="宋体"/>
          <w:szCs w:val="21"/>
          <w:vertAlign w:val="subscript"/>
        </w:rPr>
        <w:t>Auguse</w:t>
      </w:r>
    </w:p>
    <w:p w14:paraId="66E806FE">
      <w:pPr>
        <w:widowControl/>
        <w:spacing w:line="360" w:lineRule="auto"/>
        <w:ind w:firstLine="3360" w:firstLineChars="16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其中：T</w:t>
      </w:r>
      <w:r>
        <w:rPr>
          <w:rFonts w:hint="eastAsia" w:cs="宋体"/>
          <w:szCs w:val="21"/>
          <w:vertAlign w:val="subscript"/>
        </w:rPr>
        <w:t>x September</w:t>
      </w:r>
      <w:r>
        <w:rPr>
          <w:rFonts w:hint="eastAsia" w:cs="宋体"/>
          <w:szCs w:val="21"/>
        </w:rPr>
        <w:t>：9月最高温的平均值</w:t>
      </w:r>
    </w:p>
    <w:p w14:paraId="6E612838">
      <w:pPr>
        <w:widowControl/>
        <w:spacing w:line="360" w:lineRule="auto"/>
        <w:ind w:firstLine="3990" w:firstLineChars="19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T</w:t>
      </w:r>
      <w:r>
        <w:rPr>
          <w:rFonts w:hint="eastAsia" w:cs="宋体"/>
          <w:szCs w:val="21"/>
          <w:vertAlign w:val="subscript"/>
        </w:rPr>
        <w:t>n Auguse</w:t>
      </w:r>
      <w:r>
        <w:rPr>
          <w:rFonts w:hint="eastAsia" w:cs="宋体"/>
          <w:szCs w:val="21"/>
        </w:rPr>
        <w:t>：8月最低温的平均值</w:t>
      </w:r>
    </w:p>
    <w:p w14:paraId="2050E667">
      <w:pPr>
        <w:widowControl/>
        <w:spacing w:line="360" w:lineRule="auto"/>
        <w:ind w:firstLine="3990" w:firstLineChars="1900"/>
        <w:jc w:val="left"/>
        <w:rPr>
          <w:rFonts w:cs="宋体"/>
          <w:szCs w:val="21"/>
        </w:rPr>
      </w:pPr>
    </w:p>
    <w:p w14:paraId="5AA3D336">
      <w:pPr>
        <w:widowControl/>
        <w:spacing w:line="360" w:lineRule="auto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3.5</w:t>
      </w:r>
    </w:p>
    <w:p w14:paraId="59EA97A1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成熟期间夜间冷凉指数（Cool Night index，缩写CN）</w:t>
      </w:r>
    </w:p>
    <w:p w14:paraId="17C7F39A">
      <w:pPr>
        <w:widowControl/>
        <w:spacing w:line="360" w:lineRule="auto"/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葡萄浆果成熟期夜间的温度，10月份成熟的酿酒葡萄（马瑟兰）CN计算公式为：</w:t>
      </w:r>
    </w:p>
    <w:p w14:paraId="6CD914F0">
      <w:pPr>
        <w:widowControl/>
        <w:spacing w:line="360" w:lineRule="auto"/>
        <w:jc w:val="center"/>
        <w:rPr>
          <w:rFonts w:cs="宋体"/>
          <w:szCs w:val="21"/>
        </w:rPr>
      </w:pPr>
      <w:r>
        <w:rPr>
          <w:rFonts w:hint="eastAsia" w:cs="宋体"/>
          <w:szCs w:val="21"/>
        </w:rPr>
        <w:t>CN=T</w:t>
      </w:r>
      <w:r>
        <w:rPr>
          <w:rFonts w:hint="eastAsia" w:cs="宋体"/>
          <w:szCs w:val="21"/>
          <w:vertAlign w:val="subscript"/>
        </w:rPr>
        <w:t>n October</w:t>
      </w:r>
    </w:p>
    <w:p w14:paraId="5F052BA7">
      <w:pPr>
        <w:widowControl/>
        <w:spacing w:line="360" w:lineRule="auto"/>
        <w:ind w:firstLine="2940" w:firstLineChars="14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其中：T</w:t>
      </w:r>
      <w:r>
        <w:rPr>
          <w:rFonts w:hint="eastAsia" w:cs="宋体"/>
          <w:szCs w:val="21"/>
          <w:vertAlign w:val="subscript"/>
        </w:rPr>
        <w:t>n October</w:t>
      </w:r>
      <w:r>
        <w:rPr>
          <w:rFonts w:hint="eastAsia" w:cs="宋体"/>
          <w:szCs w:val="21"/>
        </w:rPr>
        <w:t>：10月最低温的平均值</w:t>
      </w:r>
    </w:p>
    <w:p w14:paraId="6468983B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26" w:name="_Toc18343"/>
      <w:bookmarkStart w:id="27" w:name="_Toc197189017"/>
      <w:r>
        <w:rPr>
          <w:rFonts w:hint="eastAsia" w:ascii="Times New Roman"/>
        </w:rPr>
        <w:t>土壤分析及土壤砂粒含量的确定</w:t>
      </w:r>
      <w:bookmarkEnd w:id="26"/>
      <w:bookmarkEnd w:id="27"/>
    </w:p>
    <w:p w14:paraId="1BA50539">
      <w:pPr>
        <w:spacing w:line="360" w:lineRule="auto"/>
        <w:outlineLvl w:val="1"/>
        <w:rPr>
          <w:rFonts w:cs="宋体"/>
          <w:szCs w:val="21"/>
        </w:rPr>
      </w:pPr>
      <w:bookmarkStart w:id="28" w:name="_Toc11878"/>
      <w:r>
        <w:rPr>
          <w:rFonts w:hint="eastAsia" w:cs="宋体"/>
          <w:szCs w:val="21"/>
        </w:rPr>
        <w:t>4.1土壤样品采集及样品预处理</w:t>
      </w:r>
      <w:bookmarkEnd w:id="28"/>
    </w:p>
    <w:p w14:paraId="24C623DD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参照GB/T 36197-2018土壤采样技术指南 ，进行土壤样品的采集；</w:t>
      </w:r>
    </w:p>
    <w:p w14:paraId="605AAC0D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参照GB/T 42363-2023土壤理化分析样品的预处理，进行土壤样品预处理。</w:t>
      </w:r>
    </w:p>
    <w:p w14:paraId="1187559A">
      <w:pPr>
        <w:spacing w:line="360" w:lineRule="auto"/>
        <w:outlineLvl w:val="1"/>
        <w:rPr>
          <w:rFonts w:cs="宋体"/>
          <w:szCs w:val="21"/>
        </w:rPr>
      </w:pPr>
      <w:bookmarkStart w:id="29" w:name="_Toc20836"/>
      <w:r>
        <w:rPr>
          <w:rFonts w:hint="eastAsia" w:cs="宋体"/>
          <w:szCs w:val="21"/>
        </w:rPr>
        <w:t>4.2土壤机械组成分析及土壤砂粒含量的确定</w:t>
      </w:r>
      <w:bookmarkEnd w:id="29"/>
    </w:p>
    <w:p w14:paraId="0FEBB77C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参照NY/T 1121.3-2006土壤机械组成的测定，进行土壤机械组成分析；基于土壤机械组成分析结果确定土壤砂粒含量，同时记录土壤粉砂粒（0.02≥D&gt;0.002mm）含量。</w:t>
      </w:r>
    </w:p>
    <w:p w14:paraId="60EACEE9">
      <w:pPr>
        <w:spacing w:line="360" w:lineRule="auto"/>
        <w:outlineLvl w:val="1"/>
        <w:rPr>
          <w:rFonts w:cs="宋体"/>
          <w:szCs w:val="21"/>
        </w:rPr>
      </w:pPr>
      <w:bookmarkStart w:id="30" w:name="_Toc5741"/>
      <w:r>
        <w:rPr>
          <w:rFonts w:hint="eastAsia" w:cs="宋体"/>
          <w:szCs w:val="21"/>
        </w:rPr>
        <w:t>4.3土壤关键理化指标测试分析</w:t>
      </w:r>
      <w:bookmarkEnd w:id="30"/>
    </w:p>
    <w:p w14:paraId="2B10A9B2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对采集的样品进行土壤容重、土壤最大持水量、土壤pH、有效磷、速效钾、交换性镁、有效锌等指标进行测试分析。参照鲍士旦1986年中国农业出版社出版的《土壤农化分析》对各土壤理化指标进行测定。</w:t>
      </w:r>
    </w:p>
    <w:p w14:paraId="394ADE77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土壤容重采用环刀法；土壤最大持水量采用重量法；土壤pH采用pH计法（水土比2.5:1）；pH≧6 的土壤采用碳酸氢钠浸提-钼锑抗比色法测定土壤有效磷，pH&lt;6 的土壤采用氟化铵-盐酸浸提-钼锑抗比色法测定土壤有效磷；土壤碱解氮采用碱解扩散法；土壤速效钾采用醋酸铵浸提-火焰光度计法；土壤有效硼采用姜黄素比色法；土壤交换性钙、镁以及土壤有效铁、锰、铜、锌采用原子吸收分光光度计法测定。</w:t>
      </w:r>
    </w:p>
    <w:p w14:paraId="08455C0B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31" w:name="_Toc25140"/>
      <w:bookmarkStart w:id="32" w:name="_Toc588541398"/>
      <w:r>
        <w:rPr>
          <w:rFonts w:hint="eastAsia" w:ascii="Times New Roman"/>
        </w:rPr>
        <w:t>基于土壤砂粒含量的一级区划</w:t>
      </w:r>
      <w:bookmarkEnd w:id="31"/>
      <w:bookmarkEnd w:id="32"/>
    </w:p>
    <w:p w14:paraId="67E8B92E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就目标区域的同一品种酿酒葡萄，按照4.2中确定的土壤砂粒含量，将土壤砂粒（2≥D&gt;0.02mm）含量≦60%的小区域划分为A1区；含量在60%~80%的为A2区；含量≧80%的为A3区。</w:t>
      </w:r>
    </w:p>
    <w:p w14:paraId="661519D6">
      <w:pPr>
        <w:spacing w:line="360" w:lineRule="auto"/>
        <w:ind w:firstLine="2520" w:firstLineChars="1200"/>
        <w:rPr>
          <w:rFonts w:cs="宋体"/>
          <w:szCs w:val="21"/>
        </w:rPr>
      </w:pPr>
      <w:r>
        <w:rPr>
          <w:rFonts w:hint="eastAsia" w:cs="宋体"/>
          <w:szCs w:val="21"/>
        </w:rPr>
        <w:t>表5-1.基于土壤砂粒含量的一级区划指标范围</w:t>
      </w:r>
    </w:p>
    <w:tbl>
      <w:tblPr>
        <w:tblStyle w:val="6"/>
        <w:tblW w:w="765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4803"/>
      </w:tblGrid>
      <w:tr w14:paraId="1C9287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856" w:type="dxa"/>
            <w:tcBorders>
              <w:bottom w:val="single" w:color="auto" w:sz="4" w:space="0"/>
            </w:tcBorders>
            <w:noWrap/>
            <w:vAlign w:val="center"/>
          </w:tcPr>
          <w:p w14:paraId="528D17CF"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一级区划</w:t>
            </w:r>
          </w:p>
          <w:p w14:paraId="09D73DB7"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803" w:type="dxa"/>
            <w:tcBorders>
              <w:bottom w:val="single" w:color="auto" w:sz="4" w:space="0"/>
            </w:tcBorders>
            <w:noWrap/>
            <w:vAlign w:val="center"/>
          </w:tcPr>
          <w:p w14:paraId="21673CF8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土壤砂粒含量</w:t>
            </w:r>
          </w:p>
          <w:p w14:paraId="109AC55F"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（2≥D&gt;0.02mm）</w:t>
            </w:r>
          </w:p>
        </w:tc>
      </w:tr>
      <w:tr w14:paraId="2F2A9A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56" w:type="dxa"/>
            <w:tcBorders>
              <w:top w:val="single" w:color="auto" w:sz="4" w:space="0"/>
            </w:tcBorders>
            <w:noWrap/>
            <w:vAlign w:val="center"/>
          </w:tcPr>
          <w:p w14:paraId="3C6DEFF1"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A1</w:t>
            </w:r>
          </w:p>
        </w:tc>
        <w:tc>
          <w:tcPr>
            <w:tcW w:w="4803" w:type="dxa"/>
            <w:tcBorders>
              <w:top w:val="single" w:color="auto" w:sz="4" w:space="0"/>
            </w:tcBorders>
            <w:noWrap/>
            <w:vAlign w:val="center"/>
          </w:tcPr>
          <w:p w14:paraId="609AD6AD"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szCs w:val="21"/>
              </w:rPr>
              <w:t>≦50%</w:t>
            </w:r>
          </w:p>
        </w:tc>
      </w:tr>
      <w:tr w14:paraId="63ABBE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856" w:type="dxa"/>
            <w:noWrap/>
            <w:vAlign w:val="center"/>
          </w:tcPr>
          <w:p w14:paraId="10811F76"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A2</w:t>
            </w:r>
          </w:p>
        </w:tc>
        <w:tc>
          <w:tcPr>
            <w:tcW w:w="4803" w:type="dxa"/>
            <w:noWrap/>
            <w:vAlign w:val="center"/>
          </w:tcPr>
          <w:p w14:paraId="44A0B0CF"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szCs w:val="21"/>
              </w:rPr>
              <w:t>50%~70%</w:t>
            </w:r>
          </w:p>
        </w:tc>
      </w:tr>
      <w:tr w14:paraId="57226A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856" w:type="dxa"/>
            <w:noWrap/>
            <w:vAlign w:val="center"/>
          </w:tcPr>
          <w:p w14:paraId="4EC5A03D"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4803" w:type="dxa"/>
            <w:noWrap/>
            <w:vAlign w:val="center"/>
          </w:tcPr>
          <w:p w14:paraId="0EA12558"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szCs w:val="21"/>
              </w:rPr>
              <w:t>≧70%</w:t>
            </w:r>
          </w:p>
        </w:tc>
      </w:tr>
    </w:tbl>
    <w:p w14:paraId="5E6FA428"/>
    <w:p w14:paraId="7BF98578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33" w:name="_Toc32617"/>
      <w:bookmarkStart w:id="34" w:name="_Toc305598104"/>
      <w:r>
        <w:rPr>
          <w:rFonts w:hint="eastAsia" w:ascii="Times New Roman"/>
        </w:rPr>
        <w:t>小区域环境指标的获取</w:t>
      </w:r>
      <w:bookmarkEnd w:id="33"/>
      <w:bookmarkEnd w:id="34"/>
    </w:p>
    <w:p w14:paraId="2E823EDC">
      <w:pPr>
        <w:spacing w:line="360" w:lineRule="auto"/>
        <w:rPr>
          <w:rFonts w:cs="宋体"/>
          <w:szCs w:val="21"/>
        </w:rPr>
      </w:pPr>
      <w:r>
        <w:rPr>
          <w:rFonts w:hint="eastAsia" w:cs="宋体"/>
          <w:szCs w:val="21"/>
        </w:rPr>
        <w:t xml:space="preserve">    根据一级区划方案，在划分的小区域种植区内的地上部安装小型气象站，地下部安装土壤温湿度探头，用来获取环境温度、光照强度、土壤温湿度等指标，并计算出TRR、CN等温度指数参数。</w:t>
      </w:r>
    </w:p>
    <w:p w14:paraId="55B257E9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35" w:name="_Toc29345"/>
      <w:bookmarkStart w:id="36" w:name="_Toc1553933951"/>
      <w:r>
        <w:rPr>
          <w:rFonts w:hint="eastAsia" w:ascii="Times New Roman"/>
        </w:rPr>
        <w:t>基于温度指数TRR和CN的二级区划</w:t>
      </w:r>
      <w:bookmarkEnd w:id="35"/>
      <w:bookmarkEnd w:id="36"/>
    </w:p>
    <w:p w14:paraId="35E36541">
      <w:pPr>
        <w:spacing w:line="360" w:lineRule="auto"/>
        <w:outlineLvl w:val="1"/>
        <w:rPr>
          <w:rFonts w:cs="宋体"/>
          <w:szCs w:val="21"/>
        </w:rPr>
      </w:pPr>
      <w:bookmarkStart w:id="37" w:name="_Toc4901"/>
      <w:r>
        <w:rPr>
          <w:rFonts w:hint="eastAsia" w:cs="宋体"/>
          <w:szCs w:val="21"/>
        </w:rPr>
        <w:t>7.1基于TRR的霞多丽产区区划</w:t>
      </w:r>
      <w:bookmarkEnd w:id="37"/>
    </w:p>
    <w:p w14:paraId="6FB03FC2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霞多丽产区区划采用ST法（Sand+TRR）。霞多丽为白色酿酒葡萄品种，山东胶东半岛产区的霞多丽葡萄多在8月末到在9月初成熟并采收。经统计分析霞多丽葡萄品质与成熟期温度变幅指数（Temperature Range during Vine Ripening index，缩写TRR）有显著相关性。</w:t>
      </w:r>
    </w:p>
    <w:p w14:paraId="578AEAD0">
      <w:pPr>
        <w:spacing w:line="360" w:lineRule="auto"/>
        <w:ind w:firstLine="420" w:firstLineChars="200"/>
        <w:jc w:val="center"/>
        <w:rPr>
          <w:rFonts w:cs="宋体"/>
          <w:szCs w:val="21"/>
        </w:rPr>
      </w:pPr>
      <w:r>
        <w:rPr>
          <w:rFonts w:hint="eastAsia" w:cs="宋体"/>
          <w:szCs w:val="21"/>
        </w:rPr>
        <w:t>表7-1.基于温度指数TRR的二级区划指标范围</w:t>
      </w:r>
    </w:p>
    <w:tbl>
      <w:tblPr>
        <w:tblStyle w:val="7"/>
        <w:tblW w:w="693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94"/>
        <w:gridCol w:w="1944"/>
        <w:gridCol w:w="1942"/>
      </w:tblGrid>
      <w:tr w14:paraId="23DE87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59" w:type="dxa"/>
            <w:vMerge w:val="restart"/>
            <w:vAlign w:val="center"/>
          </w:tcPr>
          <w:p w14:paraId="075F18C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二级区划</w:t>
            </w:r>
          </w:p>
          <w:p w14:paraId="6646AE16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名称</w:t>
            </w:r>
          </w:p>
        </w:tc>
        <w:tc>
          <w:tcPr>
            <w:tcW w:w="5380" w:type="dxa"/>
            <w:gridSpan w:val="3"/>
            <w:tcBorders>
              <w:bottom w:val="single" w:color="auto" w:sz="4" w:space="0"/>
            </w:tcBorders>
            <w:vAlign w:val="center"/>
          </w:tcPr>
          <w:p w14:paraId="40915E61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霞多丽二级区划指标</w:t>
            </w:r>
          </w:p>
        </w:tc>
      </w:tr>
      <w:tr w14:paraId="076E98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 w14:paraId="2B06F86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415A8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正常年份</w:t>
            </w:r>
          </w:p>
          <w:p w14:paraId="116F9524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TRR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B9480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高温年份</w:t>
            </w:r>
          </w:p>
          <w:p w14:paraId="5F0C954C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TRR</w:t>
            </w:r>
          </w:p>
        </w:tc>
        <w:tc>
          <w:tcPr>
            <w:tcW w:w="1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C8684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低温年份</w:t>
            </w:r>
          </w:p>
          <w:p w14:paraId="2354CDF9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TRR</w:t>
            </w:r>
          </w:p>
        </w:tc>
      </w:tr>
      <w:tr w14:paraId="0D0616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8CC4B2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B1</w:t>
            </w:r>
          </w:p>
        </w:tc>
        <w:tc>
          <w:tcPr>
            <w:tcW w:w="1494" w:type="dxa"/>
            <w:tcBorders>
              <w:top w:val="single" w:color="auto" w:sz="4" w:space="0"/>
            </w:tcBorders>
            <w:vAlign w:val="center"/>
          </w:tcPr>
          <w:p w14:paraId="106D1019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≦5℃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vAlign w:val="center"/>
          </w:tcPr>
          <w:p w14:paraId="430F4BE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≦5.5℃</w:t>
            </w:r>
          </w:p>
        </w:tc>
        <w:tc>
          <w:tcPr>
            <w:tcW w:w="1942" w:type="dxa"/>
            <w:tcBorders>
              <w:top w:val="single" w:color="auto" w:sz="4" w:space="0"/>
            </w:tcBorders>
            <w:vAlign w:val="center"/>
          </w:tcPr>
          <w:p w14:paraId="3CE0897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≦3.5℃</w:t>
            </w:r>
          </w:p>
        </w:tc>
      </w:tr>
      <w:tr w14:paraId="64E233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9" w:type="dxa"/>
            <w:vAlign w:val="center"/>
          </w:tcPr>
          <w:p w14:paraId="3D9969B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B2</w:t>
            </w:r>
          </w:p>
        </w:tc>
        <w:tc>
          <w:tcPr>
            <w:tcW w:w="1494" w:type="dxa"/>
            <w:vAlign w:val="center"/>
          </w:tcPr>
          <w:p w14:paraId="417A5792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5℃~6℃</w:t>
            </w:r>
          </w:p>
        </w:tc>
        <w:tc>
          <w:tcPr>
            <w:tcW w:w="1944" w:type="dxa"/>
            <w:vAlign w:val="center"/>
          </w:tcPr>
          <w:p w14:paraId="0D7E42B3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5.5℃~6.5℃；</w:t>
            </w:r>
          </w:p>
        </w:tc>
        <w:tc>
          <w:tcPr>
            <w:tcW w:w="1942" w:type="dxa"/>
            <w:vAlign w:val="center"/>
          </w:tcPr>
          <w:p w14:paraId="3FD18B8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3.5℃~5℃</w:t>
            </w:r>
          </w:p>
        </w:tc>
      </w:tr>
      <w:tr w14:paraId="5BA0BB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9" w:type="dxa"/>
            <w:vAlign w:val="center"/>
          </w:tcPr>
          <w:p w14:paraId="54DF7D16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B3</w:t>
            </w:r>
          </w:p>
        </w:tc>
        <w:tc>
          <w:tcPr>
            <w:tcW w:w="1494" w:type="dxa"/>
            <w:vAlign w:val="center"/>
          </w:tcPr>
          <w:p w14:paraId="1CCE93EE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≧6℃</w:t>
            </w:r>
          </w:p>
        </w:tc>
        <w:tc>
          <w:tcPr>
            <w:tcW w:w="1944" w:type="dxa"/>
            <w:vAlign w:val="center"/>
          </w:tcPr>
          <w:p w14:paraId="3C0DCA42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≧6.5℃</w:t>
            </w:r>
          </w:p>
        </w:tc>
        <w:tc>
          <w:tcPr>
            <w:tcW w:w="1942" w:type="dxa"/>
            <w:vAlign w:val="center"/>
          </w:tcPr>
          <w:p w14:paraId="781513A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≧5℃</w:t>
            </w:r>
          </w:p>
        </w:tc>
      </w:tr>
    </w:tbl>
    <w:p w14:paraId="4047D2AF">
      <w:pPr>
        <w:rPr>
          <w:rFonts w:cs="宋体"/>
          <w:szCs w:val="21"/>
        </w:rPr>
      </w:pPr>
    </w:p>
    <w:p w14:paraId="1E6A61D6">
      <w:pPr>
        <w:spacing w:line="360" w:lineRule="auto"/>
        <w:outlineLvl w:val="1"/>
        <w:rPr>
          <w:rFonts w:cs="宋体"/>
          <w:szCs w:val="21"/>
        </w:rPr>
      </w:pPr>
      <w:bookmarkStart w:id="38" w:name="_Toc29447"/>
      <w:r>
        <w:rPr>
          <w:rFonts w:hint="eastAsia" w:cs="宋体"/>
          <w:szCs w:val="21"/>
        </w:rPr>
        <w:t>7.2基于CN的马瑟兰产区区划</w:t>
      </w:r>
      <w:bookmarkEnd w:id="38"/>
    </w:p>
    <w:p w14:paraId="7238158C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马瑟兰产区区划采用SC法（Sand+CN）。马瑟兰为红色酿酒葡萄品种，山东胶东半岛产区的马瑟兰葡萄多在9月末到在10月初成熟并采收。经统计分析马瑟兰葡萄品质与成熟期间夜间冷凉指数（Cool Night index，缩写CN）有显著相关性。</w:t>
      </w:r>
    </w:p>
    <w:p w14:paraId="6C9F8EA6">
      <w:pPr>
        <w:spacing w:line="360" w:lineRule="auto"/>
        <w:ind w:firstLine="420" w:firstLineChars="200"/>
        <w:jc w:val="center"/>
        <w:rPr>
          <w:rFonts w:cs="宋体"/>
          <w:szCs w:val="21"/>
        </w:rPr>
      </w:pPr>
      <w:r>
        <w:rPr>
          <w:rFonts w:hint="eastAsia" w:cs="宋体"/>
          <w:szCs w:val="21"/>
        </w:rPr>
        <w:t>表7-2.基于温度指数CN的二级区划指标范围</w:t>
      </w:r>
    </w:p>
    <w:tbl>
      <w:tblPr>
        <w:tblStyle w:val="7"/>
        <w:tblW w:w="757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992"/>
        <w:gridCol w:w="1992"/>
        <w:gridCol w:w="1994"/>
      </w:tblGrid>
      <w:tr w14:paraId="5C3CFA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01" w:type="dxa"/>
            <w:vMerge w:val="restart"/>
            <w:vAlign w:val="center"/>
          </w:tcPr>
          <w:p w14:paraId="40305AA2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二级区划</w:t>
            </w:r>
          </w:p>
          <w:p w14:paraId="1A11DB16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名称</w:t>
            </w:r>
          </w:p>
        </w:tc>
        <w:tc>
          <w:tcPr>
            <w:tcW w:w="5978" w:type="dxa"/>
            <w:gridSpan w:val="3"/>
            <w:tcBorders>
              <w:bottom w:val="single" w:color="auto" w:sz="4" w:space="0"/>
            </w:tcBorders>
            <w:vAlign w:val="center"/>
          </w:tcPr>
          <w:p w14:paraId="3A0E937D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马瑟兰二级区划指标</w:t>
            </w:r>
          </w:p>
        </w:tc>
      </w:tr>
      <w:tr w14:paraId="3F7FA9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01" w:type="dxa"/>
            <w:vMerge w:val="continue"/>
            <w:tcBorders>
              <w:bottom w:val="single" w:color="auto" w:sz="4" w:space="0"/>
            </w:tcBorders>
            <w:vAlign w:val="center"/>
          </w:tcPr>
          <w:p w14:paraId="2A66B7C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A4C188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正常年份</w:t>
            </w:r>
          </w:p>
          <w:p w14:paraId="68A14463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CN</w:t>
            </w:r>
          </w:p>
        </w:tc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C97CD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高温年份</w:t>
            </w:r>
          </w:p>
          <w:p w14:paraId="05C6BC51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CN</w:t>
            </w: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332719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低温年份</w:t>
            </w:r>
          </w:p>
          <w:p w14:paraId="296FC259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CN</w:t>
            </w:r>
          </w:p>
        </w:tc>
      </w:tr>
      <w:tr w14:paraId="47D527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1" w:type="dxa"/>
            <w:tcBorders>
              <w:top w:val="single" w:color="auto" w:sz="4" w:space="0"/>
            </w:tcBorders>
            <w:vAlign w:val="center"/>
          </w:tcPr>
          <w:p w14:paraId="1F87ED78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B1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3CADDAF4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≦11.5℃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 w14:paraId="74B58B9E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≦12℃</w:t>
            </w:r>
          </w:p>
        </w:tc>
        <w:tc>
          <w:tcPr>
            <w:tcW w:w="1994" w:type="dxa"/>
            <w:tcBorders>
              <w:top w:val="single" w:color="auto" w:sz="4" w:space="0"/>
            </w:tcBorders>
            <w:vAlign w:val="center"/>
          </w:tcPr>
          <w:p w14:paraId="73BA2973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≦9.5℃</w:t>
            </w:r>
          </w:p>
        </w:tc>
      </w:tr>
      <w:tr w14:paraId="3EE017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01" w:type="dxa"/>
            <w:vAlign w:val="center"/>
          </w:tcPr>
          <w:p w14:paraId="574AC453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B2</w:t>
            </w:r>
          </w:p>
        </w:tc>
        <w:tc>
          <w:tcPr>
            <w:tcW w:w="1992" w:type="dxa"/>
            <w:vAlign w:val="center"/>
          </w:tcPr>
          <w:p w14:paraId="6A5A8BD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11.5℃~12℃</w:t>
            </w:r>
          </w:p>
        </w:tc>
        <w:tc>
          <w:tcPr>
            <w:tcW w:w="1992" w:type="dxa"/>
            <w:vAlign w:val="center"/>
          </w:tcPr>
          <w:p w14:paraId="2EB41305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12℃~13.5℃</w:t>
            </w:r>
          </w:p>
        </w:tc>
        <w:tc>
          <w:tcPr>
            <w:tcW w:w="1994" w:type="dxa"/>
            <w:vAlign w:val="center"/>
          </w:tcPr>
          <w:p w14:paraId="4D4A8513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9.5℃~10.5℃</w:t>
            </w:r>
          </w:p>
        </w:tc>
      </w:tr>
      <w:tr w14:paraId="55B261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01" w:type="dxa"/>
            <w:vAlign w:val="center"/>
          </w:tcPr>
          <w:p w14:paraId="35E2005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B3</w:t>
            </w:r>
          </w:p>
        </w:tc>
        <w:tc>
          <w:tcPr>
            <w:tcW w:w="1992" w:type="dxa"/>
            <w:vAlign w:val="center"/>
          </w:tcPr>
          <w:p w14:paraId="3A337AD8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≧12℃</w:t>
            </w:r>
          </w:p>
        </w:tc>
        <w:tc>
          <w:tcPr>
            <w:tcW w:w="1992" w:type="dxa"/>
            <w:vAlign w:val="center"/>
          </w:tcPr>
          <w:p w14:paraId="63FC929F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≧13.5℃</w:t>
            </w:r>
          </w:p>
        </w:tc>
        <w:tc>
          <w:tcPr>
            <w:tcW w:w="1994" w:type="dxa"/>
            <w:vAlign w:val="center"/>
          </w:tcPr>
          <w:p w14:paraId="6B91DC03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≧10.5℃</w:t>
            </w:r>
          </w:p>
        </w:tc>
      </w:tr>
    </w:tbl>
    <w:p w14:paraId="375D6DA7">
      <w:pPr>
        <w:spacing w:line="360" w:lineRule="auto"/>
        <w:rPr>
          <w:rFonts w:cs="宋体"/>
          <w:szCs w:val="21"/>
        </w:rPr>
      </w:pPr>
    </w:p>
    <w:p w14:paraId="16446428">
      <w:pPr>
        <w:spacing w:line="360" w:lineRule="auto"/>
        <w:rPr>
          <w:rFonts w:cs="宋体"/>
          <w:szCs w:val="21"/>
        </w:rPr>
      </w:pPr>
    </w:p>
    <w:p w14:paraId="58C306C1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39" w:name="_Toc16197"/>
      <w:bookmarkStart w:id="40" w:name="_Toc1419283290"/>
      <w:r>
        <w:rPr>
          <w:rFonts w:hint="eastAsia" w:ascii="Times New Roman"/>
        </w:rPr>
        <w:t>基于土壤矿质营养的三级区划方案的建立</w:t>
      </w:r>
      <w:bookmarkEnd w:id="39"/>
      <w:bookmarkEnd w:id="40"/>
    </w:p>
    <w:p w14:paraId="4CE70B1B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土壤矿质营养是土壤质量的关键指标之一，也是影响葡萄生长发育、果实品质形成的重要因素。经RDA（冗余分析）、熵值法等数学模式分析，发现霞多丽葡萄品质与土壤交换性钙、镁含量有显著相关性，且各地块的交换性钙镁含量具有一定的协同性，进而将土壤交换性性钙镁含量作为产区区划的第三级指标。</w:t>
      </w:r>
    </w:p>
    <w:p w14:paraId="56A1E15A">
      <w:pPr>
        <w:spacing w:line="360" w:lineRule="auto"/>
        <w:ind w:firstLine="420" w:firstLineChars="200"/>
        <w:jc w:val="center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szCs w:val="21"/>
        </w:rPr>
        <w:t>表8-1.基于土壤矿质营养的三级区划指标范围</w:t>
      </w:r>
    </w:p>
    <w:tbl>
      <w:tblPr>
        <w:tblStyle w:val="7"/>
        <w:tblW w:w="949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807"/>
        <w:gridCol w:w="4332"/>
      </w:tblGrid>
      <w:tr w14:paraId="5199BF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vMerge w:val="restart"/>
            <w:tcBorders>
              <w:bottom w:val="single" w:color="auto" w:sz="4" w:space="0"/>
            </w:tcBorders>
            <w:vAlign w:val="center"/>
          </w:tcPr>
          <w:p w14:paraId="1B4F0BAB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三级区划</w:t>
            </w:r>
          </w:p>
          <w:p w14:paraId="427F6E0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名称</w:t>
            </w:r>
          </w:p>
        </w:tc>
        <w:tc>
          <w:tcPr>
            <w:tcW w:w="8139" w:type="dxa"/>
            <w:gridSpan w:val="2"/>
            <w:tcBorders>
              <w:bottom w:val="single" w:color="auto" w:sz="4" w:space="0"/>
            </w:tcBorders>
            <w:vAlign w:val="center"/>
          </w:tcPr>
          <w:p w14:paraId="2DAC99EC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土壤矿质营养关键指标</w:t>
            </w:r>
          </w:p>
        </w:tc>
      </w:tr>
      <w:tr w14:paraId="6A8621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670ACE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1635A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土壤交换性钙含量</w:t>
            </w:r>
          </w:p>
        </w:tc>
        <w:tc>
          <w:tcPr>
            <w:tcW w:w="4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157067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土壤交换性镁含量</w:t>
            </w:r>
          </w:p>
        </w:tc>
      </w:tr>
      <w:tr w14:paraId="76D0F7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tcBorders>
              <w:top w:val="single" w:color="auto" w:sz="4" w:space="0"/>
            </w:tcBorders>
            <w:vAlign w:val="center"/>
          </w:tcPr>
          <w:p w14:paraId="36C864E3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C1</w:t>
            </w:r>
          </w:p>
        </w:tc>
        <w:tc>
          <w:tcPr>
            <w:tcW w:w="3807" w:type="dxa"/>
            <w:tcBorders>
              <w:top w:val="single" w:color="auto" w:sz="4" w:space="0"/>
            </w:tcBorders>
            <w:vAlign w:val="center"/>
          </w:tcPr>
          <w:p w14:paraId="40D33886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≦1000mg/kg</w:t>
            </w:r>
          </w:p>
        </w:tc>
        <w:tc>
          <w:tcPr>
            <w:tcW w:w="4332" w:type="dxa"/>
            <w:tcBorders>
              <w:top w:val="single" w:color="auto" w:sz="4" w:space="0"/>
            </w:tcBorders>
            <w:vAlign w:val="center"/>
          </w:tcPr>
          <w:p w14:paraId="022C414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≦150mg/kg</w:t>
            </w:r>
          </w:p>
        </w:tc>
      </w:tr>
      <w:tr w14:paraId="0A039B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60" w:type="dxa"/>
            <w:vAlign w:val="center"/>
          </w:tcPr>
          <w:p w14:paraId="49A227F5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C2</w:t>
            </w:r>
          </w:p>
        </w:tc>
        <w:tc>
          <w:tcPr>
            <w:tcW w:w="3807" w:type="dxa"/>
            <w:vAlign w:val="center"/>
          </w:tcPr>
          <w:p w14:paraId="6CE3AD01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1000mg/kg~3000mg/kg</w:t>
            </w:r>
          </w:p>
        </w:tc>
        <w:tc>
          <w:tcPr>
            <w:tcW w:w="4332" w:type="dxa"/>
            <w:vAlign w:val="center"/>
          </w:tcPr>
          <w:p w14:paraId="7570F8BF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150mg/kg~400mg/kg</w:t>
            </w:r>
          </w:p>
        </w:tc>
      </w:tr>
      <w:tr w14:paraId="5F2791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vAlign w:val="center"/>
          </w:tcPr>
          <w:p w14:paraId="47629E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C3</w:t>
            </w:r>
          </w:p>
        </w:tc>
        <w:tc>
          <w:tcPr>
            <w:tcW w:w="3807" w:type="dxa"/>
            <w:vAlign w:val="center"/>
          </w:tcPr>
          <w:p w14:paraId="2D70DEDA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≧3000mg/kg</w:t>
            </w:r>
          </w:p>
        </w:tc>
        <w:tc>
          <w:tcPr>
            <w:tcW w:w="4332" w:type="dxa"/>
            <w:vAlign w:val="center"/>
          </w:tcPr>
          <w:p w14:paraId="5E222663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cs="宋体"/>
                <w:szCs w:val="21"/>
              </w:rPr>
              <w:t>≧400mg/kg</w:t>
            </w:r>
          </w:p>
        </w:tc>
      </w:tr>
    </w:tbl>
    <w:p w14:paraId="0C1756B9">
      <w:pPr>
        <w:rPr>
          <w:rFonts w:cs="宋体"/>
          <w:szCs w:val="21"/>
        </w:rPr>
      </w:pPr>
    </w:p>
    <w:p w14:paraId="7666AE34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41" w:name="_Toc1793387801"/>
      <w:bookmarkStart w:id="42" w:name="_Toc29486"/>
      <w:r>
        <w:rPr>
          <w:rFonts w:hint="eastAsia" w:ascii="Times New Roman"/>
        </w:rPr>
        <w:t>优质特色小产区区划方案的建立及阶段性验证</w:t>
      </w:r>
      <w:bookmarkEnd w:id="41"/>
      <w:bookmarkEnd w:id="42"/>
    </w:p>
    <w:p w14:paraId="5C35E72B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园区差别化管理方案实施一段时间后，在土壤机械组成的基础上，再次获取环境气候数据及土壤理化指标、果实品质和果实挥发性香气数据，并根据这些参数，对原确定的区划方案进行验证和调整。</w:t>
      </w:r>
    </w:p>
    <w:p w14:paraId="1AF23437">
      <w:pPr>
        <w:pStyle w:val="29"/>
        <w:numPr>
          <w:ilvl w:val="0"/>
          <w:numId w:val="1"/>
        </w:numPr>
        <w:spacing w:before="312" w:after="312"/>
        <w:outlineLvl w:val="0"/>
        <w:rPr>
          <w:rFonts w:ascii="Times New Roman"/>
        </w:rPr>
      </w:pPr>
      <w:bookmarkStart w:id="43" w:name="_Toc1535785762"/>
      <w:bookmarkStart w:id="44" w:name="_Toc6369"/>
      <w:r>
        <w:rPr>
          <w:rFonts w:hint="eastAsia" w:ascii="Times New Roman"/>
        </w:rPr>
        <w:t>基于区划方案的分区采收酿造和差别化管理方案制定</w:t>
      </w:r>
      <w:bookmarkEnd w:id="43"/>
      <w:bookmarkEnd w:id="44"/>
    </w:p>
    <w:p w14:paraId="58C9E26B">
      <w:pPr>
        <w:spacing w:line="360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根据所明确的区划方案，对不同区域的酿酒葡萄进行分区采收以提高原料的一致性，并达到提高葡萄酒品质、塑造产品特色的目的。同时针对不同分区的植株生长和果实品质情况，制定并实施差别化管理方案，以逐步提高目标区域的一致性。</w:t>
      </w:r>
    </w:p>
    <w:p w14:paraId="540004CD">
      <w:pPr>
        <w:pStyle w:val="25"/>
        <w:ind w:firstLineChars="0"/>
        <w:rPr>
          <w:rFonts w:ascii="Times New Roman"/>
          <w:highlight w:val="yellow"/>
        </w:rPr>
      </w:pPr>
    </w:p>
    <w:p w14:paraId="2A5C147E"/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D14D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1A1B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974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974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5AB0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80543">
    <w:pPr>
      <w:pStyle w:val="30"/>
      <w:rPr>
        <w:rFonts w:hint="eastAsia" w:eastAsia="黑体"/>
        <w:lang w:eastAsia="zh-CN"/>
      </w:rPr>
    </w:pPr>
    <w:bookmarkStart w:id="45" w:name="_GoBack"/>
    <w:bookmarkEnd w:id="45"/>
    <w:r>
      <w:t xml:space="preserve">T/CBJ </w:t>
    </w:r>
    <w:r>
      <w:rPr>
        <w:rFonts w:hint="eastAsia"/>
      </w:rPr>
      <w:t>XXXX</w:t>
    </w:r>
    <w:r>
      <w:t>—202</w:t>
    </w:r>
    <w:r>
      <w:rPr>
        <w:rFonts w:hint="eastAsia"/>
        <w:lang w:val="en-US" w:eastAsia="zh-CN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5682F"/>
    <w:multiLevelType w:val="multilevel"/>
    <w:tmpl w:val="0EB5682F"/>
    <w:lvl w:ilvl="0" w:tentative="0">
      <w:start w:val="1"/>
      <w:numFmt w:val="decimal"/>
      <w:lvlText w:val="%1 "/>
      <w:lvlJc w:val="left"/>
      <w:pPr>
        <w:tabs>
          <w:tab w:val="left" w:pos="0"/>
        </w:tabs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63C14"/>
    <w:rsid w:val="36C55DA2"/>
    <w:rsid w:val="3EA01CAF"/>
    <w:rsid w:val="43BC4AF1"/>
    <w:rsid w:val="45556B54"/>
    <w:rsid w:val="4ECC1202"/>
    <w:rsid w:val="54C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5">
    <w:name w:val="封面标准英文名称"/>
    <w:basedOn w:val="14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6">
    <w:name w:val="封面一致性程度标识"/>
    <w:basedOn w:val="15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17">
    <w:name w:val="封面标准文稿类别"/>
    <w:basedOn w:val="16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18">
    <w:name w:val="封面标准文稿编辑信息"/>
    <w:basedOn w:val="17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9">
    <w:name w:val="其他发布日期"/>
    <w:basedOn w:val="20"/>
    <w:qFormat/>
    <w:uiPriority w:val="0"/>
    <w:pPr>
      <w:framePr w:wrap="around" w:vAnchor="page" w:hAnchor="text" w:x="1419"/>
    </w:pPr>
  </w:style>
  <w:style w:type="paragraph" w:customStyle="1" w:styleId="2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1">
    <w:name w:val="其他实施日期"/>
    <w:basedOn w:val="22"/>
    <w:qFormat/>
    <w:uiPriority w:val="0"/>
    <w:pPr>
      <w:framePr w:wrap="around"/>
    </w:pPr>
  </w:style>
  <w:style w:type="paragraph" w:customStyle="1" w:styleId="22">
    <w:name w:val="实施日期"/>
    <w:basedOn w:val="20"/>
    <w:qFormat/>
    <w:uiPriority w:val="0"/>
    <w:pPr>
      <w:framePr w:wrap="around" w:vAnchor="page" w:hAnchor="text"/>
      <w:jc w:val="right"/>
    </w:pPr>
  </w:style>
  <w:style w:type="paragraph" w:customStyle="1" w:styleId="23">
    <w:name w:val="其他发布部门"/>
    <w:basedOn w:val="24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24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5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7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章标题"/>
    <w:next w:val="25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2437</Words>
  <Characters>3117</Characters>
  <Lines>0</Lines>
  <Paragraphs>0</Paragraphs>
  <TotalTime>1</TotalTime>
  <ScaleCrop>false</ScaleCrop>
  <LinksUpToDate>false</LinksUpToDate>
  <CharactersWithSpaces>3229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2025-08-29T02:22:00Z</dcterms:created>
  <dc:creator>蒿凤123</dc:creator>
  <cp:lastModifiedBy>鳢·明磊</cp:lastModifiedBy>
  <dcterms:modified xsi:type="dcterms:W3CDTF">2025-08-29T06:49:37Z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eyJoZGlkIjoiNDUwMTFkMDI3ZjBmZjczM2Q3M2EwOGI5M2VjYzUzMDkiLCJ1c2VySWQiOiI2Mzc2MTkzNTkifQ==</vt:lpwstr>
  </property>
  <property fmtid="{D5CDD505-2E9C-101B-9397-08002B2CF9AE}" pid="4" name="ICV">
    <vt:lpwstr>68A45518C4D6441A9637D565232BAF88_12</vt:lpwstr>
  </property>
</Properties>
</file>