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B472">
      <w:pPr>
        <w:spacing w:line="48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《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瓶储年份酒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》团体标准编制说明</w:t>
      </w:r>
    </w:p>
    <w:p w14:paraId="7980A656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工作简况</w:t>
      </w:r>
    </w:p>
    <w:p w14:paraId="57D6D6CD">
      <w:pPr>
        <w:pStyle w:val="27"/>
        <w:numPr>
          <w:ilvl w:val="0"/>
          <w:numId w:val="3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任务来源</w:t>
      </w:r>
    </w:p>
    <w:p w14:paraId="699AA7D2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bookmarkStart w:id="0" w:name="_Hlk86420409"/>
      <w:r>
        <w:rPr>
          <w:rFonts w:hint="eastAsia" w:ascii="Times New Roman" w:hAnsi="Times New Roman" w:eastAsia="宋体" w:cs="Times New Roman"/>
          <w:sz w:val="24"/>
          <w:szCs w:val="24"/>
        </w:rPr>
        <w:t>中国酒业协会根据行业发展需要提出团体标准提案，中国酒业协会团体标准审查委员会批准立项，</w:t>
      </w:r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>由中国酒业协会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名酒收藏专业委员会</w:t>
      </w:r>
      <w:r>
        <w:rPr>
          <w:rFonts w:hint="eastAsia" w:ascii="Times New Roman" w:hAnsi="Times New Roman" w:eastAsia="宋体" w:cs="Times New Roman"/>
          <w:sz w:val="24"/>
          <w:szCs w:val="24"/>
        </w:rPr>
        <w:t>牵头，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泸州老窖股份</w:t>
      </w:r>
      <w:r>
        <w:rPr>
          <w:rFonts w:hint="eastAsia" w:ascii="Times New Roman" w:hAnsi="Times New Roman" w:eastAsia="宋体" w:cs="Times New Roman"/>
          <w:sz w:val="24"/>
          <w:szCs w:val="24"/>
        </w:rPr>
        <w:t>有限公司等单位为主要起草单位，负责起草编制《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瓶储年份酒</w:t>
      </w:r>
      <w:r>
        <w:rPr>
          <w:rFonts w:hint="eastAsia" w:ascii="Times New Roman" w:hAnsi="Times New Roman" w:eastAsia="宋体" w:cs="Times New Roman"/>
          <w:sz w:val="24"/>
          <w:szCs w:val="24"/>
        </w:rPr>
        <w:t>》团体标准。根据团体标准项目建议书，《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瓶储年份酒</w:t>
      </w:r>
      <w:r>
        <w:rPr>
          <w:rFonts w:hint="eastAsia" w:ascii="Times New Roman" w:hAnsi="Times New Roman" w:eastAsia="宋体" w:cs="Times New Roman"/>
          <w:sz w:val="24"/>
          <w:szCs w:val="24"/>
        </w:rPr>
        <w:t>》团体标准中国标准分类号X6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（ICS分类号67.160.10）。</w:t>
      </w:r>
    </w:p>
    <w:p w14:paraId="2EFEBC01">
      <w:pPr>
        <w:pStyle w:val="27"/>
        <w:numPr>
          <w:ilvl w:val="0"/>
          <w:numId w:val="3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起草单位</w:t>
      </w:r>
    </w:p>
    <w:p w14:paraId="654FBFE2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贵州茅台酒股份有限公司、泸州老窖股份有限公司、山西杏花村汾酒厂股份有限公司、四川郎酒股份有限公司、江南大学、陕西西凤酒股份有限公司、贵州董酒股份有限公司、贵州国台数智酒业集团股份有限公司、黄鹤楼酒业有限公司、湖南武陵酒有限公司、江苏汤沟两相和酒业有限公司、贵州省仁怀市民族酒业有限公司、湖北省石花酿酒股份有限公司、贵州唐庄酿</w:t>
      </w:r>
      <w:bookmarkStart w:id="2" w:name="_GoBack"/>
      <w:bookmarkEnd w:id="2"/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酒有限公司、山东云门酒业股份有限公司、四川地方印象文化发展有限公司、山东景芝白酒有限公司、酒鬼酒股份有限公司、山东国井控股集团有限公司、河北衡水老白干酒业股份有限公司、贵州习酒股份有限公司、山东花冠酒业有限公司、河南仰韶酒业有限公司、山东兰陵美酒股份有限公司、宝丰酒业有限公司、深圳市酒类行业协会、四川光良酿酒有限公司、中国食品发酵工业研究院有限公司、劲牌有限公司、湖北人人大经贸有限公司、陕西禧福祥品牌运营有限公司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（计划）</w:t>
      </w:r>
    </w:p>
    <w:p w14:paraId="36AB3F41">
      <w:pPr>
        <w:pStyle w:val="27"/>
        <w:numPr>
          <w:ilvl w:val="0"/>
          <w:numId w:val="3"/>
        </w:numPr>
        <w:tabs>
          <w:tab w:val="left" w:pos="312"/>
        </w:tabs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目的意义</w:t>
      </w:r>
    </w:p>
    <w:p w14:paraId="10BB3D67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近年来，随着陈年酒热度不断提升，行业内对于陈年酒的定义及界定标准较为杂乱,“老酒”、“陈年酒”、“陈年老酒”、“往年酒”、“坛贮年份酒”等名称众说纷纭,“3年及以上”、“10年及以上”、“以出厂年份界定”、“以不同年份基酒勾兑平均”等标准尚未统一，在企业宣传推广、经销商产品推介、消费者心智培育、行业规范化管理方面增添较多阻碍。在分析方法，检验规则，标签标注等方面要求不一，为陈年酒鉴定及陈年酒销售方面增添阻碍。</w:t>
      </w:r>
    </w:p>
    <w:p w14:paraId="42117A47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瓶储年份酒作为白酒中的精粹，以其重要的收藏价值和品鉴价值成为了众多白酒爱好者追捧的对象。现随着消费者对高品质、高价值白酒需求的不断增加，瓶储年份酒的市场需求也不断扩大。为促使白酒企业更加注重瓶储年份酒的市场规范和品牌建设，推动白酒行业高质量、可持续发展。由中国酒业协会牵头，组织名酒企业对于“瓶储年份酒”标准进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制定</w:t>
      </w:r>
      <w:r>
        <w:rPr>
          <w:rFonts w:hint="eastAsia" w:ascii="Times New Roman" w:hAnsi="Times New Roman" w:eastAsia="宋体" w:cs="Times New Roman"/>
          <w:sz w:val="24"/>
          <w:szCs w:val="24"/>
        </w:rPr>
        <w:t>，旨在明确企业生产销售的白酒产品瓶储一定年份后的定义，与中国酒业协会现行的《陈年白酒鉴定规范》团体标准，进行有机补充，形成体系，有利于梳理现有标准体系，进行行业规范化管理，对于中国名优酒企业陈年酒战略制定、宣传推广、经销商产品推介、消费者选择购买、陈年酒爱好者收藏及陈年酒认定、鉴定等方面具有重要意义，对于我国陈年酒行业高速高质、可持续发展发挥重要作用。</w:t>
      </w:r>
    </w:p>
    <w:p w14:paraId="4D59C791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编制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过程</w:t>
      </w:r>
    </w:p>
    <w:p w14:paraId="673C4896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</w:rPr>
        <w:t>，中国酒业协会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名酒收藏专业委员会</w:t>
      </w:r>
      <w:r>
        <w:rPr>
          <w:rFonts w:hint="eastAsia" w:ascii="Times New Roman" w:hAnsi="Times New Roman" w:eastAsia="宋体" w:cs="Times New Roman"/>
          <w:sz w:val="24"/>
          <w:szCs w:val="24"/>
        </w:rPr>
        <w:t>因行业需要提出《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瓶储年份酒</w:t>
      </w:r>
      <w:r>
        <w:rPr>
          <w:rFonts w:hint="eastAsia" w:ascii="Times New Roman" w:hAnsi="Times New Roman" w:eastAsia="宋体" w:cs="Times New Roman"/>
          <w:sz w:val="24"/>
          <w:szCs w:val="24"/>
        </w:rPr>
        <w:t>》团体标准立项申请。中国酒业协会与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泸州老窖股份</w:t>
      </w:r>
      <w:r>
        <w:rPr>
          <w:rFonts w:hint="eastAsia" w:ascii="Times New Roman" w:hAnsi="Times New Roman" w:eastAsia="宋体" w:cs="Times New Roman"/>
          <w:sz w:val="24"/>
          <w:szCs w:val="24"/>
        </w:rPr>
        <w:t>有限公司共同协商标准主要框架、适用范围和技术内容。</w:t>
      </w:r>
    </w:p>
    <w:p w14:paraId="25E3A154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日-202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21</w:t>
      </w:r>
      <w:r>
        <w:rPr>
          <w:rFonts w:ascii="Times New Roman" w:hAnsi="Times New Roman" w:eastAsia="宋体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名酒收藏专业委员会</w:t>
      </w:r>
      <w:r>
        <w:rPr>
          <w:rFonts w:ascii="Times New Roman" w:hAnsi="Times New Roman" w:eastAsia="宋体" w:cs="Times New Roman"/>
          <w:sz w:val="24"/>
          <w:szCs w:val="24"/>
        </w:rPr>
        <w:t>将立项相关材料总结</w:t>
      </w:r>
      <w:r>
        <w:rPr>
          <w:rFonts w:hint="eastAsia" w:ascii="Times New Roman" w:hAnsi="Times New Roman" w:eastAsia="宋体" w:cs="Times New Roman"/>
          <w:sz w:val="24"/>
          <w:szCs w:val="24"/>
        </w:rPr>
        <w:t>提交中国酒业协会团体标准审查委员会，向专家组成员</w:t>
      </w:r>
      <w:r>
        <w:rPr>
          <w:rFonts w:ascii="Times New Roman" w:hAnsi="Times New Roman" w:eastAsia="宋体" w:cs="Times New Roman"/>
          <w:sz w:val="24"/>
          <w:szCs w:val="24"/>
        </w:rPr>
        <w:t>发文（中酒协标[202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]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</w:t>
      </w:r>
      <w:r>
        <w:rPr>
          <w:rFonts w:ascii="Times New Roman" w:hAnsi="Times New Roman" w:eastAsia="宋体" w:cs="Times New Roman"/>
          <w:sz w:val="24"/>
          <w:szCs w:val="24"/>
        </w:rPr>
        <w:t>号），邀请成员进行立项函审，根据函审结果，审查意见</w:t>
      </w:r>
      <w:r>
        <w:rPr>
          <w:rFonts w:hint="eastAsia" w:ascii="Times New Roman" w:hAnsi="Times New Roman" w:eastAsia="宋体" w:cs="Times New Roman"/>
          <w:sz w:val="24"/>
          <w:szCs w:val="24"/>
        </w:rPr>
        <w:t>全部</w:t>
      </w:r>
      <w:r>
        <w:rPr>
          <w:rFonts w:ascii="Times New Roman" w:hAnsi="Times New Roman" w:eastAsia="宋体" w:cs="Times New Roman"/>
          <w:sz w:val="24"/>
          <w:szCs w:val="24"/>
        </w:rPr>
        <w:t>表示赞同。</w:t>
      </w:r>
    </w:p>
    <w:p w14:paraId="7E8826CA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</w:rPr>
        <w:t>2年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</w:rPr>
        <w:t>日，经中国酒业协会团体标准审查委员会发文（中酒协标[2</w:t>
      </w:r>
      <w:r>
        <w:rPr>
          <w:rFonts w:ascii="Times New Roman" w:hAnsi="Times New Roman" w:eastAsia="宋体" w:cs="Times New Roman"/>
          <w:sz w:val="24"/>
          <w:szCs w:val="24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]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26</w:t>
      </w:r>
      <w:r>
        <w:rPr>
          <w:rFonts w:hint="eastAsia" w:ascii="Times New Roman" w:hAnsi="Times New Roman" w:eastAsia="宋体" w:cs="Times New Roman"/>
          <w:sz w:val="24"/>
          <w:szCs w:val="24"/>
        </w:rPr>
        <w:t>号）批准立项，并征集起草单位。</w:t>
      </w:r>
    </w:p>
    <w:p w14:paraId="3FFC33AB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sz w:val="24"/>
          <w:szCs w:val="24"/>
        </w:rPr>
        <w:t>月1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日</w:t>
      </w:r>
      <w:r>
        <w:rPr>
          <w:rFonts w:hint="eastAsia" w:ascii="Times New Roman" w:hAnsi="Times New Roman" w:eastAsia="宋体" w:cs="Times New Roman"/>
          <w:sz w:val="24"/>
          <w:szCs w:val="24"/>
        </w:rPr>
        <w:t>-</w:t>
      </w: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中国酒业协会名酒收藏专业委员会</w:t>
      </w:r>
      <w:r>
        <w:rPr>
          <w:rFonts w:hint="eastAsia" w:ascii="Times New Roman" w:hAnsi="Times New Roman" w:eastAsia="宋体" w:cs="Times New Roman"/>
          <w:sz w:val="24"/>
          <w:szCs w:val="24"/>
        </w:rPr>
        <w:t>提出标准制定框架和主要工作内容，对标准初稿中的术语定义，要求，分析方法，检验检测规则，标签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标注</w:t>
      </w:r>
      <w:r>
        <w:rPr>
          <w:rFonts w:hint="eastAsia" w:ascii="Times New Roman" w:hAnsi="Times New Roman" w:eastAsia="宋体" w:cs="Times New Roman"/>
          <w:sz w:val="24"/>
          <w:szCs w:val="24"/>
        </w:rPr>
        <w:t>的内容进行讨论协调，形成标准初稿。</w:t>
      </w:r>
    </w:p>
    <w:p w14:paraId="4B6E23CB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2024年12月1日-2025年2月1日，召开研讨会，牵头单位针对讨论稿的反馈意见进行了再次修订。</w:t>
      </w:r>
    </w:p>
    <w:p w14:paraId="29C13790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编制原则和标准主要内容的论据</w:t>
      </w:r>
    </w:p>
    <w:p w14:paraId="38E20A25">
      <w:pPr>
        <w:pStyle w:val="27"/>
        <w:numPr>
          <w:ilvl w:val="0"/>
          <w:numId w:val="4"/>
        </w:numPr>
        <w:spacing w:line="480" w:lineRule="auto"/>
        <w:ind w:firstLineChars="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编制原则</w:t>
      </w:r>
    </w:p>
    <w:p w14:paraId="128A9A69">
      <w:pPr>
        <w:spacing w:line="480" w:lineRule="auto"/>
        <w:ind w:firstLine="482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a</w:t>
      </w:r>
      <w:r>
        <w:rPr>
          <w:rFonts w:ascii="宋体" w:hAnsi="宋体" w:eastAsia="宋体" w:cs="Times New Roman"/>
          <w:b/>
          <w:bCs/>
          <w:sz w:val="24"/>
          <w:szCs w:val="24"/>
        </w:rPr>
        <w:t>)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规范性原则</w:t>
      </w:r>
      <w:r>
        <w:rPr>
          <w:rFonts w:hint="eastAsia" w:ascii="宋体" w:hAnsi="宋体" w:eastAsia="宋体" w:cs="Times New Roman"/>
          <w:sz w:val="24"/>
          <w:szCs w:val="24"/>
        </w:rPr>
        <w:t>。本标准以国家、行业现有的标准为制定基础，本着先进性、科学性、合理性、可行性和可操作性的原则来进行本标准的制定工作，主要依据</w:t>
      </w:r>
      <w:bookmarkStart w:id="1" w:name="_Hlk86420438"/>
      <w:r>
        <w:rPr>
          <w:rFonts w:hint="eastAsia" w:ascii="宋体" w:hAnsi="宋体" w:eastAsia="宋体" w:cs="Times New Roman"/>
          <w:sz w:val="24"/>
          <w:szCs w:val="24"/>
        </w:rPr>
        <w:t>GB/T 1.1-2009给出的规则起草规定编写内容。</w:t>
      </w:r>
      <w:bookmarkEnd w:id="1"/>
    </w:p>
    <w:p w14:paraId="26A6CDB1">
      <w:pPr>
        <w:spacing w:line="480" w:lineRule="auto"/>
        <w:ind w:firstLine="482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b)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系统性原则</w:t>
      </w:r>
      <w:r>
        <w:rPr>
          <w:rFonts w:hint="eastAsia" w:ascii="宋体" w:hAnsi="宋体" w:eastAsia="宋体" w:cs="Times New Roman"/>
          <w:sz w:val="24"/>
          <w:szCs w:val="24"/>
        </w:rPr>
        <w:t>。本标准与GB 7718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GB/T 10781.1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 xml:space="preserve">GB/T 10781.2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 xml:space="preserve">GB/T 10781.3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GB/T 10781.4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 xml:space="preserve">GB/T 10781.8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 xml:space="preserve">GB/T 10781.9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GB/T 10781.11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GB/T 10346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 xml:space="preserve">GB/T 13662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GB/T 15037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GB/T 27588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T/CBJ 9101等引用的法规标准协调一致。按照术语和定义、要求、品相、标志、运输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等4</w:t>
      </w:r>
      <w:r>
        <w:rPr>
          <w:rFonts w:hint="eastAsia" w:ascii="宋体" w:hAnsi="宋体" w:eastAsia="宋体" w:cs="Times New Roman"/>
          <w:sz w:val="24"/>
          <w:szCs w:val="24"/>
        </w:rPr>
        <w:t>个部分展开。</w:t>
      </w:r>
    </w:p>
    <w:p w14:paraId="491164D8">
      <w:pPr>
        <w:spacing w:line="480" w:lineRule="auto"/>
        <w:ind w:firstLine="482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)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普遍性与适应性。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考虑到不同地域、不同规模企业的生产条件，标准设计 </w:t>
      </w:r>
    </w:p>
    <w:p w14:paraId="0BE14E8D">
      <w:pPr>
        <w:spacing w:line="48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兼顾了普遍适用性和特殊场景下的灵活性，力求覆盖广泛的应用范围。 </w:t>
      </w:r>
    </w:p>
    <w:p w14:paraId="268BBA66">
      <w:pPr>
        <w:pStyle w:val="27"/>
        <w:numPr>
          <w:ilvl w:val="0"/>
          <w:numId w:val="4"/>
        </w:numPr>
        <w:spacing w:line="480" w:lineRule="auto"/>
        <w:ind w:firstLineChars="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标准主要内容的论据</w:t>
      </w:r>
    </w:p>
    <w:p w14:paraId="3FE55790">
      <w:pPr>
        <w:numPr>
          <w:ilvl w:val="0"/>
          <w:numId w:val="5"/>
        </w:numPr>
        <w:spacing w:line="480" w:lineRule="auto"/>
        <w:ind w:left="-482" w:leftChars="0" w:firstLine="482" w:firstLineChars="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标准名称</w:t>
      </w:r>
    </w:p>
    <w:p w14:paraId="410753E3">
      <w:pPr>
        <w:spacing w:line="480" w:lineRule="auto"/>
        <w:ind w:firstLine="480" w:firstLineChars="200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当前市场对“年份酒”的标注缺乏统一标准，尤其是瓶储年份的定义模糊，易导致企业宣传与消费者认知存在偏差。例如，部分企业以原酒年份替代瓶储年份标注，混淆了“酿造年份”与“瓶储时长”的概念。制定《瓶储年份酒》团体标准，旨在明确界定“瓶储”这一关键环节，统一行业技术语言，避免市场乱象。</w:t>
      </w:r>
    </w:p>
    <w:p w14:paraId="6F6911FD">
      <w:pPr>
        <w:numPr>
          <w:ilvl w:val="0"/>
          <w:numId w:val="5"/>
        </w:numPr>
        <w:spacing w:line="480" w:lineRule="auto"/>
        <w:ind w:left="-482" w:leftChars="0" w:firstLine="482" w:firstLineChars="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规范性引用文件</w:t>
      </w:r>
    </w:p>
    <w:p w14:paraId="28DAE4D5">
      <w:p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本文件是产品标准，包含术语、质量、包装、储运等要求，本标准编制主要依据包括：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</w:p>
    <w:p w14:paraId="3170B59B">
      <w:pPr>
        <w:widowControl/>
        <w:ind w:firstLine="420" w:firstLineChars="200"/>
        <w:rPr>
          <w:rFonts w:hint="default" w:ascii="宋体" w:hAnsi="宋体" w:eastAsia="宋体" w:cs="宋体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GB/T 15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109     白酒工业术语</w:t>
      </w:r>
    </w:p>
    <w:p w14:paraId="12F9F474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GB 7718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</w:t>
      </w:r>
      <w:r>
        <w:rPr>
          <w:rFonts w:ascii="宋体" w:hAnsi="宋体" w:cs="宋体"/>
          <w:color w:val="auto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食品安全国家标准 预包装食品标签通则</w:t>
      </w:r>
    </w:p>
    <w:p w14:paraId="20F59FD6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10781.1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白酒质量要求 第1部分:浓香型白酒</w:t>
      </w:r>
    </w:p>
    <w:p w14:paraId="4CD17031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10781.2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白酒质量要求 第2部分:清香型白酒</w:t>
      </w:r>
    </w:p>
    <w:p w14:paraId="39317669">
      <w:pPr>
        <w:widowControl/>
        <w:ind w:firstLine="420" w:firstLineChars="200"/>
        <w:rPr>
          <w:rFonts w:hint="default" w:ascii="宋体" w:hAnsi="宋体" w:eastAsia="宋体" w:cs="宋体"/>
          <w:color w:val="auto"/>
          <w:kern w:val="0"/>
          <w:szCs w:val="21"/>
          <w:lang w:val="en-US" w:eastAsia="zh-CN"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10781.3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白酒质量要求 第3部分：米香型白酒</w:t>
      </w:r>
    </w:p>
    <w:p w14:paraId="008EE9AD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10781.4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</w:t>
      </w:r>
      <w:r>
        <w:rPr>
          <w:rFonts w:ascii="宋体" w:hAnsi="宋体" w:cs="宋体"/>
          <w:color w:val="auto"/>
          <w:kern w:val="0"/>
          <w:szCs w:val="21"/>
          <w:lang w:bidi="ar"/>
        </w:rPr>
        <w:t>白酒质量要求 第4部分:酱香型白酒</w:t>
      </w:r>
    </w:p>
    <w:p w14:paraId="0443D1CB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>GB/T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10781.6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白酒质量要求 第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6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部分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凤香型标准（即将发布）</w:t>
      </w:r>
    </w:p>
    <w:p w14:paraId="749DC7D1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8   白酒质量要求 第8部分:浓酱兼香型白酒</w:t>
      </w:r>
    </w:p>
    <w:p w14:paraId="7228F6F4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9   白酒质量要求 第9部分:芝麻香型白酒</w:t>
      </w:r>
    </w:p>
    <w:p w14:paraId="753C9DC5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11  白酒质量要求 第11部分:馥郁香型白酒</w:t>
      </w:r>
    </w:p>
    <w:p w14:paraId="6E33100A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default" w:ascii="宋体" w:hAnsi="宋体" w:cs="宋体"/>
          <w:color w:val="auto"/>
          <w:kern w:val="0"/>
          <w:szCs w:val="21"/>
          <w:lang w:val="en-US" w:eastAsia="zh-CN" w:bidi="ar"/>
        </w:rPr>
        <w:t>GB/T 10781.10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 白酒质量要求 第10部分:老白干香型白酒</w:t>
      </w:r>
    </w:p>
    <w:p w14:paraId="6AFF07E2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GB/T 16289-2018 豉香型白酒</w:t>
      </w:r>
    </w:p>
    <w:p w14:paraId="447B0803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GB/T 20823-2017 特香型白酒</w:t>
      </w:r>
    </w:p>
    <w:p w14:paraId="08E4203B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T/GZSX 066-2020 董香型白酒</w:t>
      </w:r>
    </w:p>
    <w:p w14:paraId="7DD52750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>GB/T</w:t>
      </w:r>
      <w:r>
        <w:rPr>
          <w:rFonts w:ascii="宋体" w:hAnsi="宋体" w:cs="宋体"/>
          <w:color w:val="auto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10346     </w:t>
      </w:r>
      <w:r>
        <w:rPr>
          <w:rFonts w:ascii="宋体" w:hAnsi="宋体" w:cs="宋体"/>
          <w:color w:val="auto"/>
          <w:kern w:val="0"/>
          <w:szCs w:val="21"/>
          <w:lang w:bidi="ar"/>
        </w:rPr>
        <w:t>白酒检验规则和标志、包装、运输、贮存</w:t>
      </w:r>
    </w:p>
    <w:p w14:paraId="1268C739">
      <w:pPr>
        <w:widowControl/>
        <w:ind w:firstLine="420" w:firstLineChars="200"/>
        <w:rPr>
          <w:rFonts w:hint="default" w:ascii="宋体" w:hAnsi="宋体" w:eastAsia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Cs w:val="21"/>
          <w:lang w:bidi="ar"/>
        </w:rPr>
        <w:t>GB/T</w:t>
      </w:r>
      <w:r>
        <w:rPr>
          <w:rFonts w:ascii="宋体" w:hAnsi="宋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lang w:bidi="ar"/>
        </w:rPr>
        <w:t>191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 xml:space="preserve">       包装储运图示标志</w:t>
      </w:r>
    </w:p>
    <w:p w14:paraId="05272FF2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 xml:space="preserve">GB/T 13662  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黄酒</w:t>
      </w:r>
    </w:p>
    <w:p w14:paraId="02E78415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 xml:space="preserve">GB/T 27588  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露酒</w:t>
      </w:r>
    </w:p>
    <w:p w14:paraId="58ECBF21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>T</w:t>
      </w:r>
      <w:r>
        <w:rPr>
          <w:rFonts w:ascii="宋体" w:hAnsi="宋体" w:cs="宋体"/>
          <w:color w:val="auto"/>
          <w:kern w:val="0"/>
          <w:szCs w:val="21"/>
          <w:lang w:bidi="ar"/>
        </w:rPr>
        <w:t xml:space="preserve">/CBJ 9101  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露酒</w:t>
      </w:r>
    </w:p>
    <w:p w14:paraId="202C9EBE">
      <w:pPr>
        <w:widowControl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yellow"/>
          <w:lang w:val="en-US" w:eastAsia="zh-CN"/>
        </w:rPr>
      </w:pPr>
    </w:p>
    <w:p w14:paraId="78825AE8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③定义：</w:t>
      </w:r>
    </w:p>
    <w:p w14:paraId="3ABF310B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由具备合法酒类生产资质的企业，按照规定的生产工艺和质量控制标准制成，灌装到最终销售所用瓶中，自生产日期后经规范瓶储一定年份且保存完好的酒类产品。</w:t>
      </w:r>
    </w:p>
    <w:p w14:paraId="04D7F0B1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注：未满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周期年</w:t>
      </w:r>
      <w:r>
        <w:rPr>
          <w:rFonts w:hint="eastAsia" w:ascii="宋体" w:hAnsi="宋体" w:eastAsia="宋体" w:cs="Times New Roman"/>
          <w:sz w:val="24"/>
          <w:szCs w:val="24"/>
        </w:rPr>
        <w:t>的，按上一年取整计算。</w:t>
      </w:r>
    </w:p>
    <w:p w14:paraId="07C5DE9D">
      <w:pPr>
        <w:numPr>
          <w:ilvl w:val="0"/>
          <w:numId w:val="0"/>
        </w:numPr>
        <w:spacing w:line="480" w:lineRule="auto"/>
        <w:ind w:leftChars="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④</w:t>
      </w:r>
      <w:r>
        <w:rPr>
          <w:rFonts w:ascii="宋体" w:hAnsi="宋体" w:eastAsia="宋体" w:cs="Times New Roman"/>
          <w:b/>
          <w:bCs/>
          <w:sz w:val="24"/>
          <w:szCs w:val="24"/>
        </w:rPr>
        <w:t>要求</w:t>
      </w:r>
    </w:p>
    <w:p w14:paraId="179AD5C4">
      <w:pPr>
        <w:spacing w:line="480" w:lineRule="auto"/>
        <w:ind w:firstLine="480" w:firstLineChars="20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对于《瓶储年份酒》团体标准提出生产、贮存、品相三个方面的要求。其中生产要求中，因瓶储年份酒涵盖了白酒、黄酒、露酒等多种酒类，故要求其生产的产品应符合其相应的标准。</w:t>
      </w:r>
    </w:p>
    <w:p w14:paraId="4CF9F33E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4.1 生产要求</w:t>
      </w:r>
    </w:p>
    <w:p w14:paraId="6CC7007B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4.</w:t>
      </w:r>
      <w:r>
        <w:rPr>
          <w:rFonts w:ascii="黑体" w:hAnsi="宋体" w:eastAsia="黑体" w:cs="黑体"/>
          <w:kern w:val="0"/>
          <w:szCs w:val="21"/>
          <w:lang w:bidi="ar"/>
        </w:rPr>
        <w:t>1</w:t>
      </w:r>
      <w:r>
        <w:rPr>
          <w:rFonts w:hint="eastAsia" w:ascii="黑体" w:hAnsi="宋体" w:eastAsia="黑体" w:cs="黑体"/>
          <w:kern w:val="0"/>
          <w:szCs w:val="21"/>
          <w:lang w:bidi="ar"/>
        </w:rPr>
        <w:t>.1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t>生产白酒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应</w:t>
      </w:r>
      <w:r>
        <w:rPr>
          <w:rFonts w:hint="eastAsia" w:ascii="宋体" w:hAnsi="宋体" w:cs="宋体"/>
          <w:kern w:val="0"/>
          <w:szCs w:val="21"/>
          <w:lang w:bidi="ar"/>
        </w:rPr>
        <w:t>根据其香型</w:t>
      </w:r>
      <w:r>
        <w:rPr>
          <w:rFonts w:ascii="宋体" w:hAnsi="宋体" w:cs="宋体"/>
          <w:kern w:val="0"/>
          <w:szCs w:val="21"/>
          <w:lang w:bidi="ar"/>
        </w:rPr>
        <w:t>符合GB/T 10781.1、GB/T 10781.2、GB/T 10781.3、GB/T 10781.4、GB/T 10781.</w:t>
      </w:r>
      <w:r>
        <w:rPr>
          <w:rFonts w:hint="eastAsia" w:ascii="宋体" w:hAnsi="宋体" w:cs="宋体"/>
          <w:kern w:val="0"/>
          <w:szCs w:val="21"/>
          <w:lang w:bidi="ar"/>
        </w:rPr>
        <w:t>11、</w:t>
      </w:r>
      <w:r>
        <w:rPr>
          <w:rFonts w:ascii="宋体" w:hAnsi="宋体" w:cs="宋体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kern w:val="0"/>
          <w:szCs w:val="21"/>
          <w:lang w:bidi="ar"/>
        </w:rPr>
        <w:t>9、</w:t>
      </w:r>
      <w:r>
        <w:rPr>
          <w:rFonts w:ascii="宋体" w:hAnsi="宋体" w:cs="宋体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kern w:val="0"/>
          <w:szCs w:val="21"/>
          <w:lang w:bidi="ar"/>
        </w:rPr>
        <w:t>8</w:t>
      </w:r>
      <w:r>
        <w:rPr>
          <w:rFonts w:hint="eastAsia" w:ascii="宋体" w:hAnsi="宋体" w:cs="宋体"/>
          <w:kern w:val="0"/>
          <w:szCs w:val="21"/>
          <w:lang w:eastAsia="zh-CN" w:bidi="ar"/>
        </w:rPr>
        <w:t>、GB/T 10781.10、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GB/T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10781.6（即将发布）</w:t>
      </w:r>
      <w:r>
        <w:rPr>
          <w:rFonts w:hint="eastAsia" w:ascii="宋体" w:hAnsi="宋体" w:cs="宋体"/>
          <w:kern w:val="0"/>
          <w:szCs w:val="21"/>
          <w:lang w:eastAsia="zh-CN" w:bidi="ar"/>
        </w:rPr>
        <w:t>、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GB/T 16289-2018，GB/T 20823-2017，T/GZSX 066-2020</w:t>
      </w:r>
      <w:r>
        <w:rPr>
          <w:rFonts w:ascii="宋体" w:hAnsi="宋体" w:cs="宋体"/>
          <w:kern w:val="0"/>
          <w:szCs w:val="21"/>
          <w:lang w:bidi="ar"/>
        </w:rPr>
        <w:t>等规定的质量要求；</w:t>
      </w:r>
    </w:p>
    <w:p w14:paraId="222D495F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4.1.</w:t>
      </w:r>
      <w:r>
        <w:rPr>
          <w:rFonts w:ascii="黑体" w:hAnsi="宋体" w:eastAsia="黑体" w:cs="黑体"/>
          <w:kern w:val="0"/>
          <w:szCs w:val="21"/>
          <w:lang w:bidi="ar"/>
        </w:rPr>
        <w:t>2</w:t>
      </w: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t>生产黄酒应符合GB/T 13662规定的质量要求；</w:t>
      </w:r>
    </w:p>
    <w:p w14:paraId="6D3FD9B7">
      <w:pPr>
        <w:widowControl/>
        <w:spacing w:line="220" w:lineRule="atLeast"/>
        <w:rPr>
          <w:rFonts w:hint="default" w:ascii="宋体" w:hAnsi="宋体" w:eastAsia="宋体" w:cs="宋体"/>
          <w:kern w:val="0"/>
          <w:szCs w:val="21"/>
          <w:lang w:val="en-US" w:eastAsia="zh-CN"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4.1.</w:t>
      </w:r>
      <w:r>
        <w:rPr>
          <w:rFonts w:ascii="黑体" w:hAnsi="宋体" w:eastAsia="黑体" w:cs="黑体"/>
          <w:kern w:val="0"/>
          <w:szCs w:val="21"/>
          <w:lang w:bidi="ar"/>
        </w:rPr>
        <w:t>3</w:t>
      </w: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t>生产露酒应符合GB/T 27588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或</w:t>
      </w:r>
      <w:r>
        <w:rPr>
          <w:rFonts w:ascii="宋体" w:hAnsi="宋体" w:cs="宋体"/>
          <w:kern w:val="0"/>
          <w:szCs w:val="21"/>
          <w:lang w:bidi="ar"/>
        </w:rPr>
        <w:t>T/CBJ 9101规定的质量要求；</w:t>
      </w:r>
      <w:r>
        <w:rPr>
          <w:rFonts w:hint="eastAsia" w:ascii="宋体" w:hAnsi="宋体" w:cs="宋体"/>
          <w:kern w:val="0"/>
          <w:szCs w:val="21"/>
          <w:lang w:eastAsia="zh-CN" w:bidi="ar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露酒新国标未发布）</w:t>
      </w:r>
    </w:p>
    <w:p w14:paraId="560FAFD2">
      <w:pPr>
        <w:widowControl/>
        <w:tabs>
          <w:tab w:val="left" w:pos="5836"/>
        </w:tabs>
        <w:spacing w:line="220" w:lineRule="atLeast"/>
        <w:ind w:firstLine="0" w:firstLineChars="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 w:bidi="ar"/>
        </w:rPr>
        <w:t>4.1.4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若产品生产于以上标准出台以前，按照当时的国家/行业相关标准或政策、法规执行。</w:t>
      </w:r>
    </w:p>
    <w:p w14:paraId="37D075D3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</w:p>
    <w:p w14:paraId="52503E60">
      <w:pPr>
        <w:spacing w:line="480" w:lineRule="auto"/>
        <w:ind w:firstLine="480" w:firstLineChars="20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贮存条件从温度、湿度、光照、震动等多方面进行了全方位的要求，保障了瓶储年份酒贮存可能存在的问题。</w:t>
      </w:r>
    </w:p>
    <w:p w14:paraId="030B85BC">
      <w:pPr>
        <w:widowControl/>
        <w:spacing w:before="200" w:after="200" w:line="220" w:lineRule="atLeast"/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 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贮存条件</w:t>
      </w:r>
    </w:p>
    <w:p w14:paraId="42D93CDB">
      <w:pPr>
        <w:widowControl/>
        <w:spacing w:line="220" w:lineRule="atLeast"/>
        <w:rPr>
          <w:rFonts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.1</w:t>
      </w:r>
      <w:r>
        <w:rPr>
          <w:rFonts w:ascii="宋体" w:hAnsi="宋体" w:cs="宋体"/>
          <w:kern w:val="0"/>
          <w:szCs w:val="21"/>
          <w:highlight w:val="none"/>
          <w:lang w:bidi="ar"/>
        </w:rPr>
        <w:t xml:space="preserve"> 温度：应控制在适宜范围内，保持较高的稳定性，避免温度急剧变化对酒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体及包材</w:t>
      </w:r>
      <w:r>
        <w:rPr>
          <w:rFonts w:ascii="宋体" w:hAnsi="宋体" w:cs="宋体"/>
          <w:kern w:val="0"/>
          <w:szCs w:val="21"/>
          <w:highlight w:val="none"/>
          <w:lang w:bidi="ar"/>
        </w:rPr>
        <w:t>造成损害。</w:t>
      </w:r>
    </w:p>
    <w:p w14:paraId="5427D0BA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hint="eastAsia" w:ascii="黑体" w:hAnsi="宋体" w:eastAsia="黑体" w:cs="黑体"/>
          <w:kern w:val="0"/>
          <w:szCs w:val="21"/>
          <w:highlight w:val="none"/>
          <w:lang w:bidi="ar"/>
        </w:rPr>
        <w:t>.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2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湿度：应控制在适宜范围内，避免酒标发霉或干燥脱落，若有木塞时保持木塞湿润，防止空气进入，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保证瓶盖（塞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）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的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密封效果</w:t>
      </w:r>
      <w:r>
        <w:rPr>
          <w:rFonts w:ascii="宋体" w:hAnsi="宋体" w:cs="宋体"/>
          <w:kern w:val="0"/>
          <w:szCs w:val="21"/>
          <w:highlight w:val="none"/>
          <w:lang w:bidi="ar"/>
        </w:rPr>
        <w:t>。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避免与潮湿地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/墙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面直接接触。</w:t>
      </w:r>
    </w:p>
    <w:p w14:paraId="04EEC5ED">
      <w:pPr>
        <w:widowControl/>
        <w:spacing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.3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光照：应避免直接阳光照射，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阳光直射可能</w:t>
      </w:r>
      <w:r>
        <w:rPr>
          <w:rFonts w:ascii="宋体" w:hAnsi="宋体" w:cs="宋体"/>
          <w:kern w:val="0"/>
          <w:szCs w:val="21"/>
          <w:highlight w:val="none"/>
          <w:lang w:bidi="ar"/>
        </w:rPr>
        <w:t>加速酒的氧化反应，影响口感和品质。</w:t>
      </w:r>
    </w:p>
    <w:p w14:paraId="25BE3105">
      <w:pPr>
        <w:widowControl/>
        <w:spacing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.4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震动与振动：应避免受到剧烈的震动和振动扰动酒中的沉淀物质（若有），影响酒的口感。</w:t>
      </w:r>
    </w:p>
    <w:p w14:paraId="30A4978A">
      <w:pPr>
        <w:widowControl/>
        <w:spacing w:line="220" w:lineRule="atLeast"/>
        <w:rPr>
          <w:rFonts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.5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应远离异味源，避免酒吸收异味而影响品质。</w:t>
      </w:r>
    </w:p>
    <w:p w14:paraId="05E235CB">
      <w:pPr>
        <w:widowControl/>
        <w:spacing w:line="220" w:lineRule="atLeast"/>
        <w:rPr>
          <w:rFonts w:hint="eastAsia" w:ascii="宋体" w:hAnsi="宋体" w:eastAsia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.6 </w:t>
      </w:r>
      <w:r>
        <w:rPr>
          <w:rFonts w:hint="eastAsia" w:ascii="宋体" w:hAnsi="宋体" w:eastAsia="宋体" w:cs="宋体"/>
          <w:kern w:val="0"/>
          <w:szCs w:val="21"/>
          <w:highlight w:val="none"/>
          <w:lang w:bidi="ar"/>
        </w:rPr>
        <w:t>应远离火种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，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储存地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不放置其他任何易燃易爆物品</w:t>
      </w:r>
      <w:r>
        <w:rPr>
          <w:rFonts w:hint="eastAsia" w:ascii="宋体" w:hAnsi="宋体" w:eastAsia="宋体" w:cs="宋体"/>
          <w:kern w:val="0"/>
          <w:szCs w:val="21"/>
          <w:highlight w:val="none"/>
          <w:lang w:bidi="ar"/>
        </w:rPr>
        <w:t>。</w:t>
      </w:r>
    </w:p>
    <w:p w14:paraId="08A26A8B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4.2.7 使用不同材料密封，应选择适宜的储存环境。</w:t>
      </w:r>
    </w:p>
    <w:p w14:paraId="5ED81F02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4.2.8 正确的存放角度，如白酒应保持正常竖直。</w:t>
      </w:r>
    </w:p>
    <w:p w14:paraId="009D7B66">
      <w:pPr>
        <w:widowControl/>
        <w:spacing w:line="220" w:lineRule="atLeast"/>
        <w:rPr>
          <w:rFonts w:hint="default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4.2.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 w:bidi="ar"/>
        </w:rPr>
        <w:t>9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 xml:space="preserve"> 仓库应分类、分堆、限额存放.</w:t>
      </w:r>
    </w:p>
    <w:p w14:paraId="749E5B0E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品相</w:t>
      </w:r>
    </w:p>
    <w:p w14:paraId="37938F32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.1 完整性</w:t>
      </w:r>
    </w:p>
    <w:p w14:paraId="2F293138">
      <w:pPr>
        <w:widowControl/>
        <w:spacing w:line="220" w:lineRule="atLeast"/>
        <w:rPr>
          <w:rFonts w:hint="eastAsia" w:ascii="黑体" w:hAnsi="宋体" w:eastAsia="宋体" w:cs="黑体"/>
          <w:kern w:val="0"/>
          <w:szCs w:val="21"/>
          <w:highlight w:val="none"/>
          <w:lang w:eastAsia="zh-CN"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.1.1 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瓶盖（塞）与瓶身：瓶盖（塞）应完整无缺</w:t>
      </w:r>
      <w:r>
        <w:rPr>
          <w:rFonts w:ascii="宋体" w:hAnsi="宋体" w:cs="宋体"/>
          <w:kern w:val="0"/>
          <w:szCs w:val="21"/>
          <w:highlight w:val="none"/>
          <w:lang w:bidi="ar"/>
        </w:rPr>
        <w:t>，与瓶身紧密配合，无松动或损坏现象。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瓶盖保证不会出现慢性挥发的现象，瓶身保证不会出现慢性渗漏的现象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。</w:t>
      </w:r>
    </w:p>
    <w:p w14:paraId="2744A9AA">
      <w:pPr>
        <w:widowControl/>
        <w:spacing w:line="220" w:lineRule="atLeast"/>
        <w:rPr>
          <w:rFonts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.1.2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标签与包装：瓶子自身所带标签或包装，应完整、清晰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、无</w:t>
      </w:r>
      <w:r>
        <w:rPr>
          <w:rFonts w:ascii="宋体" w:hAnsi="宋体" w:cs="宋体"/>
          <w:kern w:val="0"/>
          <w:szCs w:val="21"/>
          <w:highlight w:val="none"/>
          <w:lang w:bidi="ar"/>
        </w:rPr>
        <w:t>脱落，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尽量保证</w:t>
      </w:r>
      <w:r>
        <w:rPr>
          <w:rFonts w:ascii="宋体" w:hAnsi="宋体" w:cs="宋体"/>
          <w:kern w:val="0"/>
          <w:szCs w:val="21"/>
          <w:highlight w:val="none"/>
          <w:lang w:bidi="ar"/>
        </w:rPr>
        <w:t>无磨损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或轻微磨损</w:t>
      </w:r>
      <w:r>
        <w:rPr>
          <w:rFonts w:ascii="宋体" w:hAnsi="宋体" w:cs="宋体"/>
          <w:kern w:val="0"/>
          <w:szCs w:val="21"/>
          <w:highlight w:val="none"/>
          <w:lang w:bidi="ar"/>
        </w:rPr>
        <w:t>。</w:t>
      </w:r>
    </w:p>
    <w:p w14:paraId="6FBB71A8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4.3.1.3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 xml:space="preserve"> 根据贮存年份，产品净含量应控制在适宜范围内。</w:t>
      </w:r>
    </w:p>
    <w:p w14:paraId="17CF8A9A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4.3.1.4 标签和包材的工艺、材质要选用经过长期存储后不易严重褪色的</w:t>
      </w:r>
    </w:p>
    <w:p w14:paraId="1514F14B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.2 外观状况</w:t>
      </w:r>
    </w:p>
    <w:p w14:paraId="639C13A2">
      <w:pPr>
        <w:widowControl/>
        <w:spacing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lang w:bidi="ar"/>
        </w:rPr>
        <w:t xml:space="preserve">.2.1 </w:t>
      </w:r>
      <w:r>
        <w:rPr>
          <w:rFonts w:ascii="宋体" w:hAnsi="宋体" w:cs="宋体"/>
          <w:kern w:val="0"/>
          <w:szCs w:val="21"/>
          <w:lang w:bidi="ar"/>
        </w:rPr>
        <w:t>表面光洁度：瓶子表面应光滑无瑕疵，如气泡、裂纹等</w:t>
      </w:r>
      <w:r>
        <w:rPr>
          <w:rFonts w:hint="eastAsia" w:ascii="宋体" w:hAnsi="宋体" w:cs="宋体"/>
          <w:kern w:val="0"/>
          <w:szCs w:val="21"/>
          <w:lang w:bidi="ar"/>
        </w:rPr>
        <w:t>，允许有轻微划痕等轻微外观缺陷</w:t>
      </w:r>
      <w:r>
        <w:rPr>
          <w:rFonts w:ascii="黑体" w:hAnsi="宋体" w:eastAsia="黑体" w:cs="黑体"/>
          <w:kern w:val="0"/>
          <w:szCs w:val="21"/>
          <w:lang w:bidi="ar"/>
        </w:rPr>
        <w:t>。</w:t>
      </w:r>
    </w:p>
    <w:p w14:paraId="5B9E34B1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lang w:bidi="ar"/>
        </w:rPr>
        <w:t xml:space="preserve">.2.2 </w:t>
      </w:r>
      <w:r>
        <w:rPr>
          <w:rFonts w:ascii="宋体" w:hAnsi="宋体" w:cs="宋体"/>
          <w:kern w:val="0"/>
          <w:szCs w:val="21"/>
          <w:lang w:bidi="ar"/>
        </w:rPr>
        <w:t>颜色与图案：</w:t>
      </w:r>
      <w:r>
        <w:rPr>
          <w:rFonts w:hint="eastAsia" w:ascii="宋体" w:hAnsi="宋体" w:cs="宋体"/>
          <w:kern w:val="0"/>
          <w:szCs w:val="21"/>
          <w:lang w:bidi="ar"/>
        </w:rPr>
        <w:t>图案、文字</w:t>
      </w:r>
      <w:r>
        <w:rPr>
          <w:rFonts w:hint="eastAsia" w:ascii="宋体" w:hAnsi="宋体" w:cs="宋体"/>
          <w:kern w:val="0"/>
          <w:szCs w:val="21"/>
          <w:lang w:eastAsia="zh-CN" w:bidi="ar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颜色应</w:t>
      </w:r>
      <w:r>
        <w:rPr>
          <w:rFonts w:hint="eastAsia" w:ascii="宋体" w:hAnsi="宋体" w:cs="宋体"/>
          <w:kern w:val="0"/>
          <w:szCs w:val="21"/>
          <w:lang w:bidi="ar"/>
        </w:rPr>
        <w:t>清晰可辨识，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允许</w:t>
      </w:r>
      <w:r>
        <w:rPr>
          <w:rFonts w:hint="eastAsia" w:ascii="宋体" w:hAnsi="宋体" w:cs="宋体"/>
          <w:kern w:val="0"/>
          <w:szCs w:val="21"/>
          <w:lang w:bidi="ar"/>
        </w:rPr>
        <w:t>有轻微褪色</w:t>
      </w:r>
      <w:r>
        <w:rPr>
          <w:rFonts w:ascii="宋体" w:hAnsi="宋体" w:cs="宋体"/>
          <w:kern w:val="0"/>
          <w:szCs w:val="21"/>
          <w:lang w:bidi="ar"/>
        </w:rPr>
        <w:t>。</w:t>
      </w:r>
    </w:p>
    <w:p w14:paraId="0B4B85CA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lang w:bidi="ar"/>
        </w:rPr>
        <w:t xml:space="preserve">.2.3 </w:t>
      </w:r>
      <w:r>
        <w:rPr>
          <w:rFonts w:ascii="宋体" w:hAnsi="宋体" w:cs="宋体"/>
          <w:kern w:val="0"/>
          <w:szCs w:val="21"/>
          <w:lang w:bidi="ar"/>
        </w:rPr>
        <w:t>污渍与异味：瓶子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身</w:t>
      </w:r>
      <w:r>
        <w:rPr>
          <w:rFonts w:ascii="宋体" w:hAnsi="宋体" w:cs="宋体"/>
          <w:kern w:val="0"/>
          <w:szCs w:val="21"/>
          <w:lang w:bidi="ar"/>
        </w:rPr>
        <w:t>应干净无污渍，无异味，不影响酒体风味。</w:t>
      </w:r>
    </w:p>
    <w:p w14:paraId="0F25BF13">
      <w:pPr>
        <w:widowControl/>
        <w:spacing w:before="200" w:after="200" w:line="220" w:lineRule="atLeast"/>
        <w:rPr>
          <w:rFonts w:hint="default" w:ascii="黑体" w:hAnsi="宋体" w:eastAsia="黑体" w:cs="黑体"/>
          <w:kern w:val="0"/>
          <w:szCs w:val="21"/>
          <w:lang w:eastAsia="zh-CN"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5 </w:t>
      </w:r>
      <w:r>
        <w:rPr>
          <w:rFonts w:hint="default" w:ascii="黑体" w:hAnsi="宋体" w:eastAsia="黑体" w:cs="黑体"/>
          <w:kern w:val="0"/>
          <w:szCs w:val="21"/>
          <w:lang w:val="en-US" w:eastAsia="zh-CN" w:bidi="ar"/>
        </w:rPr>
        <w:t>检验、标志和包装</w:t>
      </w:r>
    </w:p>
    <w:p w14:paraId="3CDC840E">
      <w:pPr>
        <w:widowControl/>
        <w:rPr>
          <w:rFonts w:hint="eastAsia" w:ascii="黑体" w:hAnsi="宋体" w:eastAsia="黑体" w:cs="黑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5.1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 xml:space="preserve"> 检验、标志和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包装应符合GB7718、GB/T10346的规定。</w:t>
      </w:r>
    </w:p>
    <w:p w14:paraId="566F87DD">
      <w:pPr>
        <w:widowControl/>
        <w:spacing w:before="200" w:after="200"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5.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瓶身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/酒盒</w:t>
      </w:r>
      <w:r>
        <w:rPr>
          <w:rFonts w:hint="eastAsia" w:ascii="宋体" w:hAnsi="宋体" w:cs="宋体"/>
          <w:kern w:val="0"/>
          <w:szCs w:val="21"/>
          <w:lang w:bidi="ar"/>
        </w:rPr>
        <w:t>上标注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生产日期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 w14:paraId="5139AD69">
      <w:pPr>
        <w:widowControl/>
        <w:spacing w:before="200" w:after="200" w:line="220" w:lineRule="atLeast"/>
        <w:rPr>
          <w:rFonts w:hint="eastAsia" w:ascii="宋体" w:hAnsi="宋体" w:eastAsia="宋体" w:cs="宋体"/>
          <w:kern w:val="0"/>
          <w:szCs w:val="21"/>
          <w:lang w:bidi="ar"/>
        </w:rPr>
      </w:pPr>
      <w:r>
        <w:rPr>
          <w:rFonts w:hint="eastAsia" w:ascii="黑体" w:hAnsi="黑体" w:eastAsia="黑体" w:cs="宋体"/>
          <w:kern w:val="0"/>
          <w:szCs w:val="21"/>
          <w:lang w:bidi="ar"/>
        </w:rPr>
        <w:t>5</w:t>
      </w:r>
      <w:r>
        <w:rPr>
          <w:rFonts w:ascii="黑体" w:hAnsi="黑体" w:eastAsia="黑体" w:cs="宋体"/>
          <w:kern w:val="0"/>
          <w:szCs w:val="21"/>
          <w:lang w:bidi="ar"/>
        </w:rPr>
        <w:t>.</w:t>
      </w:r>
      <w:r>
        <w:rPr>
          <w:rFonts w:hint="eastAsia" w:ascii="黑体" w:hAnsi="黑体" w:eastAsia="黑体" w:cs="宋体"/>
          <w:kern w:val="0"/>
          <w:szCs w:val="21"/>
          <w:lang w:val="en-US" w:eastAsia="zh-CN" w:bidi="ar"/>
        </w:rPr>
        <w:t>3</w:t>
      </w:r>
      <w:r>
        <w:rPr>
          <w:rFonts w:ascii="黑体" w:hAnsi="黑体" w:eastAsia="黑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包装储运图示标志应符合GB/T</w:t>
      </w:r>
      <w:r>
        <w:rPr>
          <w:rFonts w:ascii="宋体" w:hAnsi="宋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lang w:bidi="ar"/>
        </w:rPr>
        <w:t>191要求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 w14:paraId="3DFD5E3B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6 运输</w:t>
      </w:r>
    </w:p>
    <w:p w14:paraId="2561DFD6">
      <w:pPr>
        <w:widowControl/>
        <w:rPr>
          <w:rFonts w:hint="eastAsia"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6.1 </w:t>
      </w:r>
      <w:r>
        <w:rPr>
          <w:rFonts w:hint="eastAsia" w:ascii="宋体" w:hAnsi="宋体" w:cs="宋体"/>
          <w:kern w:val="0"/>
          <w:szCs w:val="21"/>
          <w:lang w:bidi="ar"/>
        </w:rPr>
        <w:t>运输时应保持清洁、避免强烈振荡、日晒、雨淋、防止冰冻，装卸时应轻拿轻放；严禁火种。</w:t>
      </w:r>
    </w:p>
    <w:p w14:paraId="1E185018">
      <w:pPr>
        <w:widowControl/>
        <w:rPr>
          <w:rFonts w:hint="default" w:ascii="宋体" w:hAnsi="宋体" w:eastAsia="宋体" w:cs="宋体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lang w:val="en-US" w:eastAsia="zh-CN" w:bidi="ar"/>
        </w:rPr>
        <w:t>6.2 运输车辆确保未运输过有毒有害物品，保持清洁，无明显异杂味。</w:t>
      </w:r>
    </w:p>
    <w:p w14:paraId="5B85DDAD">
      <w:pPr>
        <w:widowControl/>
      </w:pPr>
      <w:r>
        <w:rPr>
          <w:rFonts w:hint="eastAsia" w:ascii="黑体" w:hAnsi="宋体" w:eastAsia="黑体" w:cs="黑体"/>
          <w:kern w:val="0"/>
          <w:szCs w:val="21"/>
          <w:lang w:bidi="ar"/>
        </w:rPr>
        <w:t>6.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kern w:val="0"/>
          <w:szCs w:val="21"/>
          <w:lang w:bidi="ar"/>
        </w:rPr>
        <w:t>成品不应与潮湿地面直接接触。</w:t>
      </w:r>
    </w:p>
    <w:p w14:paraId="36B2466B">
      <w:pPr>
        <w:widowControl/>
        <w:spacing w:line="220" w:lineRule="atLeast"/>
        <w:rPr>
          <w:rFonts w:hint="eastAsia"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6.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 xml:space="preserve">4 </w:t>
      </w:r>
      <w:r>
        <w:rPr>
          <w:rFonts w:hint="eastAsia" w:ascii="宋体" w:hAnsi="宋体" w:cs="宋体"/>
          <w:kern w:val="0"/>
          <w:szCs w:val="21"/>
          <w:lang w:bidi="ar"/>
        </w:rPr>
        <w:t>运输温度宜保持在5℃～35℃。</w:t>
      </w:r>
    </w:p>
    <w:p w14:paraId="14655B1F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主要试验（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或验证）分析</w:t>
      </w:r>
    </w:p>
    <w:p w14:paraId="11EB0AAA">
      <w:pPr>
        <w:spacing w:line="480" w:lineRule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无</w:t>
      </w:r>
    </w:p>
    <w:p w14:paraId="26EFD31B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标准中涉及的专利</w:t>
      </w:r>
    </w:p>
    <w:p w14:paraId="7849A49E">
      <w:pPr>
        <w:spacing w:line="480" w:lineRule="auto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无</w:t>
      </w:r>
    </w:p>
    <w:p w14:paraId="7AB8F535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采用国际标准和国外先进标准的程度，以及与国际、国外同类标准水平的对比情况，或与测试的国外样品、样机的有关数据对比情况。</w:t>
      </w:r>
    </w:p>
    <w:p w14:paraId="58732DB8">
      <w:pPr>
        <w:spacing w:line="480" w:lineRule="auto"/>
        <w:ind w:firstLine="240" w:firstLineChars="100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无</w:t>
      </w:r>
    </w:p>
    <w:p w14:paraId="4214ECD2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与有关的现行法律、法规和强制性国家标准的关系</w:t>
      </w:r>
    </w:p>
    <w:p w14:paraId="2F46CFF0">
      <w:pPr>
        <w:spacing w:line="480" w:lineRule="auto"/>
        <w:rPr>
          <w:rFonts w:hint="eastAsia" w:asci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无</w:t>
      </w:r>
    </w:p>
    <w:p w14:paraId="0DFA256B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重大分歧意见的处理经过和依据</w:t>
      </w:r>
    </w:p>
    <w:p w14:paraId="6BC8D904">
      <w:pPr>
        <w:spacing w:line="480" w:lineRule="auto"/>
        <w:rPr>
          <w:rFonts w:hint="eastAsia" w:asci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eastAsia="宋体" w:cs="Times New Roman"/>
          <w:sz w:val="24"/>
          <w:szCs w:val="24"/>
        </w:rPr>
        <w:t xml:space="preserve"> </w:t>
      </w:r>
      <w:r>
        <w:rPr>
          <w:rFonts w:asci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eastAsia="宋体" w:cs="Times New Roman"/>
          <w:sz w:val="24"/>
          <w:szCs w:val="24"/>
          <w:lang w:val="en-US" w:eastAsia="zh-CN"/>
        </w:rPr>
        <w:t>无</w:t>
      </w:r>
    </w:p>
    <w:p w14:paraId="407BE3B6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贯彻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团体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标准的要求和措施建议（包括组织措施、技术措施、过渡办法等内容）</w:t>
      </w:r>
    </w:p>
    <w:p w14:paraId="16F8C9F8"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建议本标准审核、批准发布后实施，由归口单位组织行业相关单位积极开展 </w:t>
      </w:r>
    </w:p>
    <w:p w14:paraId="0884AF5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宣贯工作，在行业内进行推广。</w:t>
      </w:r>
    </w:p>
    <w:p w14:paraId="5E05DB15">
      <w:pPr>
        <w:pStyle w:val="27"/>
        <w:numPr>
          <w:ilvl w:val="0"/>
          <w:numId w:val="2"/>
        </w:numPr>
        <w:spacing w:line="480" w:lineRule="auto"/>
        <w:ind w:firstLineChars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废止现行相关标准的建议</w:t>
      </w:r>
    </w:p>
    <w:p w14:paraId="04BA6666">
      <w:pPr>
        <w:spacing w:line="48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E9CA8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192A0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192A0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F9FBE"/>
    <w:multiLevelType w:val="singleLevel"/>
    <w:tmpl w:val="886F9FBE"/>
    <w:lvl w:ilvl="0" w:tentative="0">
      <w:start w:val="1"/>
      <w:numFmt w:val="decimalEnclosedCircleChinese"/>
      <w:suff w:val="nothing"/>
      <w:lvlText w:val="%1　"/>
      <w:lvlJc w:val="left"/>
      <w:pPr>
        <w:ind w:left="-482" w:firstLine="400"/>
      </w:pPr>
      <w:rPr>
        <w:rFonts w:hint="eastAsia"/>
      </w:rPr>
    </w:lvl>
  </w:abstractNum>
  <w:abstractNum w:abstractNumId="1">
    <w:nsid w:val="00000002"/>
    <w:multiLevelType w:val="multilevel"/>
    <w:tmpl w:val="00000002"/>
    <w:lvl w:ilvl="0" w:tentative="0">
      <w:start w:val="1"/>
      <w:numFmt w:val="none"/>
      <w:pStyle w:val="22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31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30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9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1D8B1FC1"/>
    <w:multiLevelType w:val="multilevel"/>
    <w:tmpl w:val="1D8B1FC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3B11F0"/>
    <w:multiLevelType w:val="multilevel"/>
    <w:tmpl w:val="373B11F0"/>
    <w:lvl w:ilvl="0" w:tentative="0">
      <w:start w:val="1"/>
      <w:numFmt w:val="japaneseCounting"/>
      <w:lvlText w:val="%1、"/>
      <w:lvlJc w:val="left"/>
      <w:pPr>
        <w:ind w:left="504" w:hanging="504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4177E8"/>
    <w:multiLevelType w:val="multilevel"/>
    <w:tmpl w:val="674177E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15"/>
    <w:rsid w:val="000058D3"/>
    <w:rsid w:val="00013D7B"/>
    <w:rsid w:val="00025E35"/>
    <w:rsid w:val="00055A15"/>
    <w:rsid w:val="00063016"/>
    <w:rsid w:val="00066539"/>
    <w:rsid w:val="000A1367"/>
    <w:rsid w:val="000A276E"/>
    <w:rsid w:val="000B3329"/>
    <w:rsid w:val="000C53B4"/>
    <w:rsid w:val="000C5FE2"/>
    <w:rsid w:val="000D3E4D"/>
    <w:rsid w:val="00147709"/>
    <w:rsid w:val="001623E9"/>
    <w:rsid w:val="00193BE4"/>
    <w:rsid w:val="001A4950"/>
    <w:rsid w:val="001E0A21"/>
    <w:rsid w:val="001E33E8"/>
    <w:rsid w:val="001F177C"/>
    <w:rsid w:val="00206780"/>
    <w:rsid w:val="00230C3E"/>
    <w:rsid w:val="00250A2D"/>
    <w:rsid w:val="00256D6A"/>
    <w:rsid w:val="00257006"/>
    <w:rsid w:val="00281F8C"/>
    <w:rsid w:val="002872AB"/>
    <w:rsid w:val="002A6E71"/>
    <w:rsid w:val="002F251E"/>
    <w:rsid w:val="002F2E4B"/>
    <w:rsid w:val="00327E7C"/>
    <w:rsid w:val="00350D0F"/>
    <w:rsid w:val="0038125D"/>
    <w:rsid w:val="00395B3B"/>
    <w:rsid w:val="0039758B"/>
    <w:rsid w:val="003A349F"/>
    <w:rsid w:val="003B62EB"/>
    <w:rsid w:val="003C386F"/>
    <w:rsid w:val="003C4321"/>
    <w:rsid w:val="003C72C0"/>
    <w:rsid w:val="003D7BB8"/>
    <w:rsid w:val="003F2384"/>
    <w:rsid w:val="004339DF"/>
    <w:rsid w:val="00442EDC"/>
    <w:rsid w:val="00445412"/>
    <w:rsid w:val="0046520C"/>
    <w:rsid w:val="00495326"/>
    <w:rsid w:val="004A0F76"/>
    <w:rsid w:val="004A481E"/>
    <w:rsid w:val="004B0A41"/>
    <w:rsid w:val="004B629A"/>
    <w:rsid w:val="004C409A"/>
    <w:rsid w:val="004E5F10"/>
    <w:rsid w:val="004F75BC"/>
    <w:rsid w:val="00530425"/>
    <w:rsid w:val="005724F0"/>
    <w:rsid w:val="00574048"/>
    <w:rsid w:val="005934C6"/>
    <w:rsid w:val="0059457D"/>
    <w:rsid w:val="005A73D0"/>
    <w:rsid w:val="005B19CE"/>
    <w:rsid w:val="00610B5D"/>
    <w:rsid w:val="00611E3A"/>
    <w:rsid w:val="00613EBF"/>
    <w:rsid w:val="00630459"/>
    <w:rsid w:val="00651B97"/>
    <w:rsid w:val="00670C85"/>
    <w:rsid w:val="00672F44"/>
    <w:rsid w:val="006739AD"/>
    <w:rsid w:val="006829C1"/>
    <w:rsid w:val="00687AE7"/>
    <w:rsid w:val="006B263A"/>
    <w:rsid w:val="006B65F1"/>
    <w:rsid w:val="006C30A8"/>
    <w:rsid w:val="006C424C"/>
    <w:rsid w:val="006D731B"/>
    <w:rsid w:val="006F2D73"/>
    <w:rsid w:val="00731B97"/>
    <w:rsid w:val="00736BF5"/>
    <w:rsid w:val="00740835"/>
    <w:rsid w:val="00770DE0"/>
    <w:rsid w:val="007E1A2D"/>
    <w:rsid w:val="007E243B"/>
    <w:rsid w:val="00801B1A"/>
    <w:rsid w:val="00822828"/>
    <w:rsid w:val="008274D7"/>
    <w:rsid w:val="0083323E"/>
    <w:rsid w:val="00880B25"/>
    <w:rsid w:val="00884D98"/>
    <w:rsid w:val="008B2997"/>
    <w:rsid w:val="008C0F54"/>
    <w:rsid w:val="008D5AD0"/>
    <w:rsid w:val="0090537A"/>
    <w:rsid w:val="00920679"/>
    <w:rsid w:val="00921DA9"/>
    <w:rsid w:val="00950B62"/>
    <w:rsid w:val="009C60B4"/>
    <w:rsid w:val="009E7BED"/>
    <w:rsid w:val="00A05260"/>
    <w:rsid w:val="00A306FD"/>
    <w:rsid w:val="00A61736"/>
    <w:rsid w:val="00A72608"/>
    <w:rsid w:val="00A72AA7"/>
    <w:rsid w:val="00A91377"/>
    <w:rsid w:val="00A97598"/>
    <w:rsid w:val="00AA304D"/>
    <w:rsid w:val="00AB6BFB"/>
    <w:rsid w:val="00AF1C4B"/>
    <w:rsid w:val="00B16694"/>
    <w:rsid w:val="00B54EF4"/>
    <w:rsid w:val="00B565FE"/>
    <w:rsid w:val="00B6652B"/>
    <w:rsid w:val="00B82E1A"/>
    <w:rsid w:val="00BA00A7"/>
    <w:rsid w:val="00BB6A6F"/>
    <w:rsid w:val="00BF0BBD"/>
    <w:rsid w:val="00BF5E6C"/>
    <w:rsid w:val="00C16DB8"/>
    <w:rsid w:val="00C335E8"/>
    <w:rsid w:val="00C704F2"/>
    <w:rsid w:val="00C823E7"/>
    <w:rsid w:val="00CA36BF"/>
    <w:rsid w:val="00CC795A"/>
    <w:rsid w:val="00CD3B78"/>
    <w:rsid w:val="00CD3C38"/>
    <w:rsid w:val="00CD7B17"/>
    <w:rsid w:val="00CE1401"/>
    <w:rsid w:val="00CF427C"/>
    <w:rsid w:val="00D90A37"/>
    <w:rsid w:val="00DA5526"/>
    <w:rsid w:val="00DD21CB"/>
    <w:rsid w:val="00DD3BCB"/>
    <w:rsid w:val="00DE56FA"/>
    <w:rsid w:val="00E21F2F"/>
    <w:rsid w:val="00E34663"/>
    <w:rsid w:val="00E433DD"/>
    <w:rsid w:val="00E61CAC"/>
    <w:rsid w:val="00E92C4F"/>
    <w:rsid w:val="00EC6948"/>
    <w:rsid w:val="00EC6DBC"/>
    <w:rsid w:val="00ED1BED"/>
    <w:rsid w:val="00EE3F3D"/>
    <w:rsid w:val="00EF519B"/>
    <w:rsid w:val="00F00C34"/>
    <w:rsid w:val="00F4588F"/>
    <w:rsid w:val="00F56599"/>
    <w:rsid w:val="00F5668B"/>
    <w:rsid w:val="00F74D63"/>
    <w:rsid w:val="00FC0107"/>
    <w:rsid w:val="00FD48BC"/>
    <w:rsid w:val="00FD5335"/>
    <w:rsid w:val="00FF1548"/>
    <w:rsid w:val="00FF3A1E"/>
    <w:rsid w:val="0198120A"/>
    <w:rsid w:val="02A06DB3"/>
    <w:rsid w:val="036715AC"/>
    <w:rsid w:val="038313E6"/>
    <w:rsid w:val="05604F20"/>
    <w:rsid w:val="057B6FB1"/>
    <w:rsid w:val="06811774"/>
    <w:rsid w:val="06AA4179"/>
    <w:rsid w:val="0799720F"/>
    <w:rsid w:val="08B77CAC"/>
    <w:rsid w:val="08E9737B"/>
    <w:rsid w:val="0984231D"/>
    <w:rsid w:val="0A07270C"/>
    <w:rsid w:val="0B304BDD"/>
    <w:rsid w:val="0CA649C9"/>
    <w:rsid w:val="0CBA1EFB"/>
    <w:rsid w:val="0D2E7F9B"/>
    <w:rsid w:val="0DBC79C4"/>
    <w:rsid w:val="0F16543F"/>
    <w:rsid w:val="11CD2917"/>
    <w:rsid w:val="128B4C13"/>
    <w:rsid w:val="14084AB5"/>
    <w:rsid w:val="14776E55"/>
    <w:rsid w:val="147C34B3"/>
    <w:rsid w:val="155A7400"/>
    <w:rsid w:val="165C4DEB"/>
    <w:rsid w:val="17614504"/>
    <w:rsid w:val="17C95782"/>
    <w:rsid w:val="17E34E51"/>
    <w:rsid w:val="192C60D0"/>
    <w:rsid w:val="196158F4"/>
    <w:rsid w:val="1AB032BE"/>
    <w:rsid w:val="1BCD5AFA"/>
    <w:rsid w:val="1C3B3C34"/>
    <w:rsid w:val="1CB91634"/>
    <w:rsid w:val="1DA44534"/>
    <w:rsid w:val="1FEA7DE9"/>
    <w:rsid w:val="20C01158"/>
    <w:rsid w:val="2134079F"/>
    <w:rsid w:val="215B0940"/>
    <w:rsid w:val="21AB1930"/>
    <w:rsid w:val="21B33201"/>
    <w:rsid w:val="21FE1F55"/>
    <w:rsid w:val="223A5719"/>
    <w:rsid w:val="242063C8"/>
    <w:rsid w:val="25C565C8"/>
    <w:rsid w:val="26855AD4"/>
    <w:rsid w:val="27A046D6"/>
    <w:rsid w:val="28095C8D"/>
    <w:rsid w:val="28C30038"/>
    <w:rsid w:val="28D4787B"/>
    <w:rsid w:val="291C2198"/>
    <w:rsid w:val="2AF5684A"/>
    <w:rsid w:val="2B1E7882"/>
    <w:rsid w:val="2C4901C9"/>
    <w:rsid w:val="2D2C4306"/>
    <w:rsid w:val="2E037583"/>
    <w:rsid w:val="2FBA29FF"/>
    <w:rsid w:val="301D349A"/>
    <w:rsid w:val="31375FF7"/>
    <w:rsid w:val="31A053F2"/>
    <w:rsid w:val="32205019"/>
    <w:rsid w:val="32472AB3"/>
    <w:rsid w:val="37EC6B19"/>
    <w:rsid w:val="38CB7A00"/>
    <w:rsid w:val="38E26C93"/>
    <w:rsid w:val="39723BD6"/>
    <w:rsid w:val="3B8F783F"/>
    <w:rsid w:val="3BD226D1"/>
    <w:rsid w:val="3CB67364"/>
    <w:rsid w:val="3DA926B9"/>
    <w:rsid w:val="3F1F7840"/>
    <w:rsid w:val="3F4C5993"/>
    <w:rsid w:val="3FC528DB"/>
    <w:rsid w:val="3FC84D25"/>
    <w:rsid w:val="42497671"/>
    <w:rsid w:val="442E425C"/>
    <w:rsid w:val="458261E7"/>
    <w:rsid w:val="46291401"/>
    <w:rsid w:val="47F7314F"/>
    <w:rsid w:val="48396644"/>
    <w:rsid w:val="485B50AC"/>
    <w:rsid w:val="49FB65FD"/>
    <w:rsid w:val="4BFE3D7C"/>
    <w:rsid w:val="4CDA594D"/>
    <w:rsid w:val="4D904A55"/>
    <w:rsid w:val="4D944218"/>
    <w:rsid w:val="4DEE7E5C"/>
    <w:rsid w:val="4E0555E1"/>
    <w:rsid w:val="4E625D51"/>
    <w:rsid w:val="4FE54AF6"/>
    <w:rsid w:val="50E75D95"/>
    <w:rsid w:val="51523D2E"/>
    <w:rsid w:val="51846B84"/>
    <w:rsid w:val="52106B94"/>
    <w:rsid w:val="52361E79"/>
    <w:rsid w:val="528F075F"/>
    <w:rsid w:val="52B03FE7"/>
    <w:rsid w:val="53157AA3"/>
    <w:rsid w:val="534022E4"/>
    <w:rsid w:val="536931D9"/>
    <w:rsid w:val="53A31324"/>
    <w:rsid w:val="57F24A86"/>
    <w:rsid w:val="58F1204E"/>
    <w:rsid w:val="5A643739"/>
    <w:rsid w:val="5A9372B6"/>
    <w:rsid w:val="5AAE3A28"/>
    <w:rsid w:val="5AE82AB8"/>
    <w:rsid w:val="5C4E7FCC"/>
    <w:rsid w:val="5CA40E39"/>
    <w:rsid w:val="5D0D43A4"/>
    <w:rsid w:val="5DB84B5A"/>
    <w:rsid w:val="5E3D04A9"/>
    <w:rsid w:val="5E8A7FF3"/>
    <w:rsid w:val="5F554C7F"/>
    <w:rsid w:val="5F572D8C"/>
    <w:rsid w:val="6157164F"/>
    <w:rsid w:val="633D6528"/>
    <w:rsid w:val="637F758D"/>
    <w:rsid w:val="63DC69CB"/>
    <w:rsid w:val="63E861FD"/>
    <w:rsid w:val="65203561"/>
    <w:rsid w:val="658513F8"/>
    <w:rsid w:val="664A693D"/>
    <w:rsid w:val="664E5D07"/>
    <w:rsid w:val="680844ED"/>
    <w:rsid w:val="682757D2"/>
    <w:rsid w:val="6922672F"/>
    <w:rsid w:val="69CD65EA"/>
    <w:rsid w:val="69ED4CF8"/>
    <w:rsid w:val="6BAC453C"/>
    <w:rsid w:val="6BDD087C"/>
    <w:rsid w:val="6C39307B"/>
    <w:rsid w:val="6CFE0065"/>
    <w:rsid w:val="6E3E3F05"/>
    <w:rsid w:val="6ED336A9"/>
    <w:rsid w:val="6EF13EBF"/>
    <w:rsid w:val="6F0E3DBF"/>
    <w:rsid w:val="71543EB7"/>
    <w:rsid w:val="7280532F"/>
    <w:rsid w:val="73F77876"/>
    <w:rsid w:val="747E2AED"/>
    <w:rsid w:val="75363669"/>
    <w:rsid w:val="75CE5634"/>
    <w:rsid w:val="75DD1C29"/>
    <w:rsid w:val="76C1203A"/>
    <w:rsid w:val="77732D03"/>
    <w:rsid w:val="77E96C86"/>
    <w:rsid w:val="78305D0B"/>
    <w:rsid w:val="78337B71"/>
    <w:rsid w:val="78681852"/>
    <w:rsid w:val="7A3C26B4"/>
    <w:rsid w:val="7B920991"/>
    <w:rsid w:val="7C7D485E"/>
    <w:rsid w:val="7C973CD8"/>
    <w:rsid w:val="7E811E1D"/>
    <w:rsid w:val="7FF4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page number"/>
    <w:basedOn w:val="10"/>
    <w:qFormat/>
    <w:uiPriority w:val="0"/>
    <w:rPr>
      <w:rFonts w:ascii="Times New Roman" w:hAnsi="Times New Roman" w:eastAsia="宋体"/>
      <w:sz w:val="18"/>
    </w:rPr>
  </w:style>
  <w:style w:type="character" w:styleId="13">
    <w:name w:val="FollowedHyperlink"/>
    <w:basedOn w:val="10"/>
    <w:semiHidden/>
    <w:unhideWhenUsed/>
    <w:qFormat/>
    <w:uiPriority w:val="99"/>
    <w:rPr>
      <w:color w:val="000000"/>
      <w:u w:val="none"/>
    </w:rPr>
  </w:style>
  <w:style w:type="character" w:styleId="14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sz w:val="18"/>
      <w:szCs w:val="18"/>
    </w:rPr>
  </w:style>
  <w:style w:type="character" w:customStyle="1" w:styleId="19">
    <w:name w:val="批注文字 字符"/>
    <w:basedOn w:val="10"/>
    <w:link w:val="2"/>
    <w:semiHidden/>
    <w:qFormat/>
    <w:uiPriority w:val="99"/>
  </w:style>
  <w:style w:type="character" w:customStyle="1" w:styleId="20">
    <w:name w:val="批注主题 字符"/>
    <w:basedOn w:val="19"/>
    <w:link w:val="7"/>
    <w:semiHidden/>
    <w:qFormat/>
    <w:uiPriority w:val="99"/>
    <w:rPr>
      <w:b/>
      <w:bCs/>
    </w:rPr>
  </w:style>
  <w:style w:type="paragraph" w:customStyle="1" w:styleId="21">
    <w:name w:val="目次、标准名称标题"/>
    <w:basedOn w:val="22"/>
    <w:next w:val="23"/>
    <w:qFormat/>
    <w:uiPriority w:val="0"/>
    <w:pPr>
      <w:numPr>
        <w:numId w:val="0"/>
      </w:numPr>
      <w:spacing w:line="460" w:lineRule="exact"/>
    </w:pPr>
  </w:style>
  <w:style w:type="paragraph" w:customStyle="1" w:styleId="22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4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5">
    <w:name w:val="标准书眉_偶数页"/>
    <w:basedOn w:val="24"/>
    <w:next w:val="1"/>
    <w:qFormat/>
    <w:uiPriority w:val="0"/>
    <w:pPr>
      <w:jc w:val="left"/>
    </w:pPr>
  </w:style>
  <w:style w:type="paragraph" w:customStyle="1" w:styleId="26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paragraph" w:customStyle="1" w:styleId="28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9">
    <w:name w:val="二级条标题"/>
    <w:basedOn w:val="30"/>
    <w:next w:val="23"/>
    <w:qFormat/>
    <w:uiPriority w:val="0"/>
    <w:pPr>
      <w:numPr>
        <w:ilvl w:val="3"/>
      </w:numPr>
      <w:outlineLvl w:val="3"/>
    </w:pPr>
  </w:style>
  <w:style w:type="paragraph" w:customStyle="1" w:styleId="30">
    <w:name w:val="一级条标题"/>
    <w:basedOn w:val="31"/>
    <w:next w:val="23"/>
    <w:qFormat/>
    <w:uiPriority w:val="0"/>
    <w:pPr>
      <w:numPr>
        <w:ilvl w:val="2"/>
      </w:numPr>
      <w:spacing w:before="0" w:beforeLines="0" w:after="0" w:afterLines="0"/>
      <w:outlineLvl w:val="2"/>
    </w:pPr>
  </w:style>
  <w:style w:type="paragraph" w:customStyle="1" w:styleId="31">
    <w:name w:val="章标题"/>
    <w:next w:val="23"/>
    <w:qFormat/>
    <w:uiPriority w:val="0"/>
    <w:pPr>
      <w:numPr>
        <w:ilvl w:val="1"/>
        <w:numId w:val="1"/>
      </w:numPr>
      <w:spacing w:before="156" w:beforeLines="50" w:after="156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3469</Words>
  <Characters>4089</Characters>
  <Lines>2</Lines>
  <Paragraphs>1</Paragraphs>
  <TotalTime>2</TotalTime>
  <ScaleCrop>false</ScaleCrop>
  <LinksUpToDate>false</LinksUpToDate>
  <CharactersWithSpaces>4272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2022-03-10T02:57:00Z</dcterms:created>
  <dc:creator>元 月</dc:creator>
  <cp:lastModifiedBy>......</cp:lastModifiedBy>
  <dcterms:modified xsi:type="dcterms:W3CDTF">2025-02-26T19:56:33Z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A66767DE1C1E47778BE2752BBCCF6072</vt:lpwstr>
  </property>
  <property fmtid="{D5CDD505-2E9C-101B-9397-08002B2CF9AE}" pid="4" name="KSOTemplateDocerSaveRecord">
    <vt:lpwstr>eyJoZGlkIjoiNzA4ZmViZDk4NzQ4NTBkYzIxZmI0ZDYyNDgyZGU5MmMiLCJ1c2VySWQiOiI1NzkyNDU3NTUifQ==</vt:lpwstr>
  </property>
</Properties>
</file>